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D4" w:rsidRDefault="00C704D4" w:rsidP="00C704D4">
      <w:pPr>
        <w:jc w:val="right"/>
        <w:rPr>
          <w:noProof/>
        </w:rPr>
      </w:pPr>
      <w:r>
        <w:rPr>
          <w:noProof/>
        </w:rPr>
        <w:t xml:space="preserve"> ПРОЕКТ</w:t>
      </w:r>
    </w:p>
    <w:p w:rsidR="00C704D4" w:rsidRDefault="00C704D4" w:rsidP="00D8434E">
      <w:pPr>
        <w:jc w:val="center"/>
        <w:rPr>
          <w:noProof/>
        </w:rPr>
      </w:pPr>
    </w:p>
    <w:p w:rsidR="0001625D" w:rsidRDefault="00B31486" w:rsidP="00D843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01625D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B31486" w:rsidRDefault="00B31486" w:rsidP="00B31486">
      <w:pPr>
        <w:contextualSpacing/>
        <w:rPr>
          <w:sz w:val="26"/>
          <w:szCs w:val="26"/>
        </w:rPr>
      </w:pPr>
      <w:r w:rsidRPr="00E84B76">
        <w:rPr>
          <w:sz w:val="26"/>
          <w:szCs w:val="26"/>
        </w:rPr>
        <w:t>О бюджетном прогнозе</w:t>
      </w:r>
      <w:r>
        <w:rPr>
          <w:sz w:val="26"/>
          <w:szCs w:val="26"/>
        </w:rPr>
        <w:t xml:space="preserve"> </w:t>
      </w:r>
    </w:p>
    <w:p w:rsidR="00B31486" w:rsidRDefault="00B31486" w:rsidP="00B31486">
      <w:pPr>
        <w:contextualSpacing/>
        <w:rPr>
          <w:sz w:val="26"/>
          <w:szCs w:val="26"/>
        </w:rPr>
      </w:pPr>
      <w:proofErr w:type="gramStart"/>
      <w:r w:rsidRPr="00E84B76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ого</w:t>
      </w:r>
      <w:proofErr w:type="gramEnd"/>
      <w:r>
        <w:rPr>
          <w:sz w:val="26"/>
          <w:szCs w:val="26"/>
        </w:rPr>
        <w:t xml:space="preserve"> муниципального округа</w:t>
      </w:r>
      <w:r w:rsidRPr="00E84B76">
        <w:rPr>
          <w:sz w:val="26"/>
          <w:szCs w:val="26"/>
        </w:rPr>
        <w:t xml:space="preserve"> </w:t>
      </w:r>
    </w:p>
    <w:p w:rsidR="00B31486" w:rsidRPr="00E84B76" w:rsidRDefault="00B31486" w:rsidP="00B3148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Pr="00E84B76">
        <w:rPr>
          <w:sz w:val="26"/>
          <w:szCs w:val="26"/>
        </w:rPr>
        <w:t>на период 20</w:t>
      </w:r>
      <w:r>
        <w:rPr>
          <w:sz w:val="26"/>
          <w:szCs w:val="26"/>
        </w:rPr>
        <w:t>25</w:t>
      </w:r>
      <w:r w:rsidRPr="00E84B76">
        <w:rPr>
          <w:sz w:val="26"/>
          <w:szCs w:val="26"/>
        </w:rPr>
        <w:t>-20</w:t>
      </w:r>
      <w:r>
        <w:rPr>
          <w:sz w:val="26"/>
          <w:szCs w:val="26"/>
        </w:rPr>
        <w:t>30</w:t>
      </w:r>
      <w:r w:rsidRPr="00E84B76">
        <w:rPr>
          <w:sz w:val="26"/>
          <w:szCs w:val="26"/>
        </w:rPr>
        <w:t xml:space="preserve"> гг.</w:t>
      </w:r>
    </w:p>
    <w:p w:rsidR="00B31486" w:rsidRDefault="00B31486" w:rsidP="00B31486">
      <w:pPr>
        <w:contextualSpacing/>
        <w:rPr>
          <w:sz w:val="26"/>
          <w:szCs w:val="26"/>
        </w:rPr>
      </w:pPr>
    </w:p>
    <w:p w:rsidR="00B31486" w:rsidRPr="00E84B76" w:rsidRDefault="00B31486" w:rsidP="00B31486">
      <w:pPr>
        <w:contextualSpacing/>
        <w:rPr>
          <w:sz w:val="26"/>
          <w:szCs w:val="26"/>
        </w:rPr>
      </w:pPr>
    </w:p>
    <w:p w:rsidR="00B31486" w:rsidRPr="00E84B76" w:rsidRDefault="00B31486" w:rsidP="00B31486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E84B76">
        <w:rPr>
          <w:sz w:val="26"/>
          <w:szCs w:val="26"/>
        </w:rPr>
        <w:t xml:space="preserve">В соответствии с Бюджетным кодексом Российской Федерации, </w:t>
      </w:r>
      <w:r w:rsidRPr="00F82FC1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Pr="00E84B76">
        <w:rPr>
          <w:sz w:val="26"/>
          <w:szCs w:val="26"/>
        </w:rPr>
        <w:t xml:space="preserve">, постановлением Администрации </w:t>
      </w:r>
      <w:proofErr w:type="spellStart"/>
      <w:r w:rsidRPr="00E84B76">
        <w:rPr>
          <w:sz w:val="26"/>
          <w:szCs w:val="26"/>
        </w:rPr>
        <w:t>г</w:t>
      </w:r>
      <w:proofErr w:type="gramStart"/>
      <w:r w:rsidRPr="00E84B76">
        <w:rPr>
          <w:sz w:val="26"/>
          <w:szCs w:val="26"/>
        </w:rPr>
        <w:t>.П</w:t>
      </w:r>
      <w:proofErr w:type="gramEnd"/>
      <w:r w:rsidRPr="00E84B76">
        <w:rPr>
          <w:sz w:val="26"/>
          <w:szCs w:val="26"/>
        </w:rPr>
        <w:t>ереславля</w:t>
      </w:r>
      <w:proofErr w:type="spellEnd"/>
      <w:r w:rsidRPr="00E84B76">
        <w:rPr>
          <w:sz w:val="26"/>
          <w:szCs w:val="26"/>
        </w:rPr>
        <w:t xml:space="preserve">-Залесского от 31.12.2015 № ПОС.03-1917/15 «О порядке разработки и утверждения бюджетного прогноза городского округа </w:t>
      </w:r>
      <w:proofErr w:type="spellStart"/>
      <w:r w:rsidRPr="00E84B76">
        <w:rPr>
          <w:sz w:val="26"/>
          <w:szCs w:val="26"/>
        </w:rPr>
        <w:t>г.Переславля</w:t>
      </w:r>
      <w:proofErr w:type="spellEnd"/>
      <w:r w:rsidRPr="00E84B76">
        <w:rPr>
          <w:sz w:val="26"/>
          <w:szCs w:val="26"/>
        </w:rPr>
        <w:t>-Залесского на долгосрочный период»,</w:t>
      </w:r>
    </w:p>
    <w:p w:rsidR="00B31486" w:rsidRPr="00495601" w:rsidRDefault="00B31486" w:rsidP="00B31486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</w:p>
    <w:p w:rsidR="00B31486" w:rsidRPr="00531990" w:rsidRDefault="00B31486" w:rsidP="00B31486">
      <w:pPr>
        <w:ind w:firstLine="709"/>
        <w:contextualSpacing/>
        <w:jc w:val="center"/>
        <w:rPr>
          <w:sz w:val="28"/>
          <w:szCs w:val="28"/>
        </w:rPr>
      </w:pPr>
      <w:r w:rsidRPr="00531990">
        <w:rPr>
          <w:sz w:val="28"/>
          <w:szCs w:val="28"/>
        </w:rPr>
        <w:t>Администрация города Переславля-Залесского постановляет:</w:t>
      </w:r>
    </w:p>
    <w:p w:rsidR="00B31486" w:rsidRPr="00531990" w:rsidRDefault="00B31486" w:rsidP="00B31486">
      <w:pPr>
        <w:ind w:firstLine="720"/>
        <w:contextualSpacing/>
        <w:jc w:val="center"/>
      </w:pPr>
    </w:p>
    <w:p w:rsidR="00B31486" w:rsidRPr="00E84B76" w:rsidRDefault="00B31486" w:rsidP="00B31486">
      <w:pPr>
        <w:tabs>
          <w:tab w:val="left" w:pos="5387"/>
          <w:tab w:val="left" w:pos="5529"/>
        </w:tabs>
        <w:ind w:right="-1" w:firstLine="567"/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E84B76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ый</w:t>
      </w:r>
      <w:r w:rsidRPr="00E84B76">
        <w:rPr>
          <w:sz w:val="26"/>
          <w:szCs w:val="26"/>
        </w:rPr>
        <w:t xml:space="preserve"> прогноз </w:t>
      </w:r>
      <w:proofErr w:type="gramStart"/>
      <w:r w:rsidRPr="00E84B76">
        <w:rPr>
          <w:sz w:val="26"/>
          <w:szCs w:val="26"/>
        </w:rPr>
        <w:t>Переславль-Залесск</w:t>
      </w:r>
      <w:r w:rsidR="00BA0E6C">
        <w:rPr>
          <w:sz w:val="26"/>
          <w:szCs w:val="26"/>
        </w:rPr>
        <w:t>ого</w:t>
      </w:r>
      <w:proofErr w:type="gramEnd"/>
      <w:r w:rsidR="00BA0E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Ярославской области</w:t>
      </w:r>
      <w:r w:rsidRPr="00E84B76">
        <w:rPr>
          <w:sz w:val="26"/>
          <w:szCs w:val="26"/>
        </w:rPr>
        <w:t xml:space="preserve"> на период 20</w:t>
      </w:r>
      <w:r>
        <w:rPr>
          <w:sz w:val="26"/>
          <w:szCs w:val="26"/>
        </w:rPr>
        <w:t>25</w:t>
      </w:r>
      <w:r w:rsidRPr="00E84B76">
        <w:rPr>
          <w:sz w:val="26"/>
          <w:szCs w:val="26"/>
        </w:rPr>
        <w:t>-20</w:t>
      </w:r>
      <w:r>
        <w:rPr>
          <w:sz w:val="26"/>
          <w:szCs w:val="26"/>
        </w:rPr>
        <w:t>30 годов согласно Приложению.</w:t>
      </w:r>
    </w:p>
    <w:p w:rsidR="00B31486" w:rsidRDefault="00B31486" w:rsidP="00B31486">
      <w:pPr>
        <w:tabs>
          <w:tab w:val="left" w:pos="5387"/>
          <w:tab w:val="left" w:pos="5529"/>
        </w:tabs>
        <w:ind w:right="-1"/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E84B76">
        <w:rPr>
          <w:sz w:val="26"/>
          <w:szCs w:val="26"/>
        </w:rPr>
        <w:t>2.</w:t>
      </w:r>
      <w:r>
        <w:rPr>
          <w:sz w:val="26"/>
          <w:szCs w:val="26"/>
        </w:rPr>
        <w:t xml:space="preserve"> Признать утратившим силу постановление </w:t>
      </w:r>
      <w:r w:rsidRPr="00E84B76">
        <w:rPr>
          <w:sz w:val="26"/>
          <w:szCs w:val="26"/>
        </w:rPr>
        <w:t xml:space="preserve">Администрации города Переславля-Залесского от </w:t>
      </w:r>
      <w:r>
        <w:rPr>
          <w:sz w:val="26"/>
          <w:szCs w:val="26"/>
        </w:rPr>
        <w:t>08</w:t>
      </w:r>
      <w:r w:rsidRPr="00E84B76">
        <w:rPr>
          <w:sz w:val="26"/>
          <w:szCs w:val="26"/>
        </w:rPr>
        <w:t>.02.20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0275</w:t>
      </w:r>
      <w:r w:rsidRPr="00E84B76">
        <w:rPr>
          <w:sz w:val="26"/>
          <w:szCs w:val="26"/>
        </w:rPr>
        <w:t>/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 xml:space="preserve"> «О бюджетном прогнозе </w:t>
      </w:r>
    </w:p>
    <w:p w:rsidR="00B31486" w:rsidRDefault="00B31486" w:rsidP="00B31486">
      <w:pPr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E84B76">
        <w:rPr>
          <w:sz w:val="26"/>
          <w:szCs w:val="26"/>
        </w:rPr>
        <w:t xml:space="preserve"> на период 20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E84B76">
        <w:rPr>
          <w:sz w:val="26"/>
          <w:szCs w:val="26"/>
        </w:rPr>
        <w:t xml:space="preserve"> гг.»</w:t>
      </w:r>
      <w:r>
        <w:rPr>
          <w:sz w:val="26"/>
          <w:szCs w:val="26"/>
        </w:rPr>
        <w:t xml:space="preserve"> (с изменениями от</w:t>
      </w:r>
      <w:r w:rsidRPr="00496690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496690">
        <w:rPr>
          <w:sz w:val="26"/>
          <w:szCs w:val="26"/>
        </w:rPr>
        <w:t>.02.20</w:t>
      </w:r>
      <w:r>
        <w:rPr>
          <w:sz w:val="26"/>
          <w:szCs w:val="26"/>
        </w:rPr>
        <w:t>23</w:t>
      </w:r>
      <w:r w:rsidRPr="00496690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302</w:t>
      </w:r>
      <w:r w:rsidRPr="00496690">
        <w:rPr>
          <w:sz w:val="26"/>
          <w:szCs w:val="26"/>
        </w:rPr>
        <w:t>/</w:t>
      </w:r>
      <w:r>
        <w:rPr>
          <w:sz w:val="26"/>
          <w:szCs w:val="26"/>
        </w:rPr>
        <w:t>23</w:t>
      </w:r>
      <w:r w:rsidRPr="00496690">
        <w:rPr>
          <w:sz w:val="26"/>
          <w:szCs w:val="26"/>
        </w:rPr>
        <w:t xml:space="preserve">, </w:t>
      </w:r>
      <w:r>
        <w:rPr>
          <w:sz w:val="26"/>
          <w:szCs w:val="26"/>
        </w:rPr>
        <w:t>от 21</w:t>
      </w:r>
      <w:r w:rsidRPr="0049669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496690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496690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573</w:t>
      </w:r>
      <w:r w:rsidRPr="00496690">
        <w:rPr>
          <w:sz w:val="26"/>
          <w:szCs w:val="26"/>
        </w:rPr>
        <w:t>/</w:t>
      </w:r>
      <w:r>
        <w:rPr>
          <w:sz w:val="26"/>
          <w:szCs w:val="26"/>
        </w:rPr>
        <w:t>24) с 01 января 2025 года.</w:t>
      </w:r>
    </w:p>
    <w:p w:rsidR="007E0215" w:rsidRPr="007E0215" w:rsidRDefault="00B31486" w:rsidP="007E0215">
      <w:pPr>
        <w:tabs>
          <w:tab w:val="left" w:pos="5387"/>
          <w:tab w:val="left" w:pos="5529"/>
        </w:tabs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E0215">
        <w:rPr>
          <w:sz w:val="26"/>
          <w:szCs w:val="26"/>
        </w:rPr>
        <w:t>3</w:t>
      </w:r>
      <w:r w:rsidR="007E0215" w:rsidRPr="007E0215">
        <w:rPr>
          <w:sz w:val="26"/>
          <w:szCs w:val="26"/>
        </w:rPr>
        <w:t xml:space="preserve">. </w:t>
      </w:r>
      <w:proofErr w:type="gramStart"/>
      <w:r w:rsidR="007E0215" w:rsidRPr="007E0215">
        <w:rPr>
          <w:sz w:val="26"/>
          <w:szCs w:val="26"/>
        </w:rPr>
        <w:t>Разместить</w:t>
      </w:r>
      <w:proofErr w:type="gramEnd"/>
      <w:r w:rsidR="007E0215" w:rsidRPr="007E0215">
        <w:rPr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B31486" w:rsidRPr="00E84B76" w:rsidRDefault="007E0215" w:rsidP="007E0215">
      <w:pPr>
        <w:tabs>
          <w:tab w:val="left" w:pos="5387"/>
          <w:tab w:val="left" w:pos="5529"/>
        </w:tabs>
        <w:ind w:left="567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E0215">
        <w:rPr>
          <w:sz w:val="26"/>
          <w:szCs w:val="26"/>
        </w:rPr>
        <w:t xml:space="preserve">. </w:t>
      </w:r>
      <w:proofErr w:type="gramStart"/>
      <w:r w:rsidRPr="007E0215">
        <w:rPr>
          <w:sz w:val="26"/>
          <w:szCs w:val="26"/>
        </w:rPr>
        <w:t>Контроль за</w:t>
      </w:r>
      <w:proofErr w:type="gramEnd"/>
      <w:r w:rsidRPr="007E0215">
        <w:rPr>
          <w:sz w:val="26"/>
          <w:szCs w:val="26"/>
        </w:rPr>
        <w:t xml:space="preserve"> исполнением постановления оставляю за собой.</w:t>
      </w:r>
    </w:p>
    <w:p w:rsidR="00B31486" w:rsidRDefault="00B31486" w:rsidP="00B31486">
      <w:pPr>
        <w:tabs>
          <w:tab w:val="left" w:pos="7020"/>
        </w:tabs>
        <w:ind w:firstLine="720"/>
        <w:contextualSpacing/>
        <w:jc w:val="both"/>
        <w:rPr>
          <w:sz w:val="26"/>
          <w:szCs w:val="26"/>
        </w:rPr>
      </w:pPr>
    </w:p>
    <w:p w:rsidR="007E0215" w:rsidRDefault="007E0215" w:rsidP="007E0215">
      <w:pPr>
        <w:pStyle w:val="a5"/>
        <w:ind w:left="567" w:right="-55"/>
        <w:contextualSpacing/>
        <w:rPr>
          <w:szCs w:val="26"/>
        </w:rPr>
      </w:pPr>
    </w:p>
    <w:p w:rsidR="007E0215" w:rsidRPr="007E0215" w:rsidRDefault="007E0215" w:rsidP="007E0215">
      <w:pPr>
        <w:pStyle w:val="a5"/>
        <w:ind w:left="0" w:right="-55"/>
        <w:contextualSpacing/>
        <w:rPr>
          <w:szCs w:val="26"/>
        </w:rPr>
      </w:pPr>
      <w:r w:rsidRPr="007E0215">
        <w:rPr>
          <w:szCs w:val="26"/>
        </w:rPr>
        <w:t>Заместитель Главы Администрации</w:t>
      </w:r>
    </w:p>
    <w:p w:rsidR="00B31486" w:rsidRDefault="007E0215" w:rsidP="007E0215">
      <w:pPr>
        <w:pStyle w:val="a5"/>
        <w:ind w:left="5529" w:right="-55" w:hanging="5529"/>
        <w:contextualSpacing/>
        <w:rPr>
          <w:sz w:val="24"/>
        </w:rPr>
      </w:pPr>
      <w:r w:rsidRPr="007E0215">
        <w:rPr>
          <w:szCs w:val="26"/>
        </w:rPr>
        <w:t xml:space="preserve">города Переславля-Залесского                                          </w:t>
      </w:r>
      <w:r w:rsidR="00BA0E6C">
        <w:rPr>
          <w:szCs w:val="26"/>
        </w:rPr>
        <w:t xml:space="preserve">     </w:t>
      </w:r>
      <w:r w:rsidRPr="007E0215">
        <w:rPr>
          <w:szCs w:val="26"/>
        </w:rPr>
        <w:t xml:space="preserve">                 Т.И. Кулакова</w:t>
      </w:r>
    </w:p>
    <w:p w:rsidR="00B31486" w:rsidRDefault="00B31486" w:rsidP="00B31486">
      <w:pPr>
        <w:pStyle w:val="a5"/>
        <w:ind w:left="5529" w:right="-55" w:firstLine="850"/>
        <w:contextualSpacing/>
        <w:rPr>
          <w:sz w:val="24"/>
        </w:rPr>
      </w:pPr>
    </w:p>
    <w:p w:rsidR="00B31486" w:rsidRDefault="00B31486" w:rsidP="00B31486">
      <w:pPr>
        <w:pStyle w:val="a5"/>
        <w:ind w:left="5529" w:right="-55" w:firstLine="850"/>
        <w:contextualSpacing/>
        <w:rPr>
          <w:sz w:val="24"/>
        </w:rPr>
      </w:pPr>
    </w:p>
    <w:p w:rsidR="00B31486" w:rsidRDefault="00B31486" w:rsidP="00B31486">
      <w:pPr>
        <w:pStyle w:val="a5"/>
        <w:ind w:left="5529" w:right="-55" w:firstLine="850"/>
        <w:contextualSpacing/>
        <w:rPr>
          <w:sz w:val="24"/>
        </w:rPr>
      </w:pPr>
    </w:p>
    <w:p w:rsidR="00B31486" w:rsidRDefault="00B31486" w:rsidP="00B31486">
      <w:pPr>
        <w:pStyle w:val="a5"/>
        <w:ind w:left="5529" w:right="-55" w:firstLine="850"/>
        <w:contextualSpacing/>
        <w:rPr>
          <w:sz w:val="24"/>
        </w:rPr>
      </w:pPr>
      <w:r w:rsidRPr="0027416F">
        <w:rPr>
          <w:sz w:val="24"/>
        </w:rPr>
        <w:lastRenderedPageBreak/>
        <w:t>Приложени</w:t>
      </w:r>
      <w:r>
        <w:rPr>
          <w:sz w:val="24"/>
        </w:rPr>
        <w:t>е</w:t>
      </w:r>
      <w:r w:rsidRPr="0027416F">
        <w:rPr>
          <w:sz w:val="24"/>
        </w:rPr>
        <w:t xml:space="preserve"> </w:t>
      </w:r>
    </w:p>
    <w:p w:rsidR="00B31486" w:rsidRPr="0027416F" w:rsidRDefault="00B31486" w:rsidP="00B31486">
      <w:pPr>
        <w:pStyle w:val="a5"/>
        <w:ind w:left="5529" w:right="-55"/>
        <w:contextualSpacing/>
        <w:rPr>
          <w:sz w:val="24"/>
        </w:rPr>
      </w:pPr>
      <w:r w:rsidRPr="0027416F">
        <w:rPr>
          <w:sz w:val="24"/>
        </w:rPr>
        <w:t>к постановлению Администрации города Переславля-Залесского</w:t>
      </w:r>
      <w:r>
        <w:rPr>
          <w:sz w:val="24"/>
        </w:rPr>
        <w:t xml:space="preserve"> </w:t>
      </w:r>
    </w:p>
    <w:p w:rsidR="00B31486" w:rsidRPr="00597CB0" w:rsidRDefault="00B31486" w:rsidP="00B31486">
      <w:pPr>
        <w:tabs>
          <w:tab w:val="left" w:pos="5245"/>
          <w:tab w:val="left" w:pos="6379"/>
          <w:tab w:val="left" w:pos="6946"/>
          <w:tab w:val="left" w:pos="8080"/>
        </w:tabs>
        <w:ind w:right="-1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F40404">
        <w:t>от</w:t>
      </w:r>
      <w:r w:rsidRPr="00531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F40404">
        <w:t xml:space="preserve"> № ПОС.</w:t>
      </w:r>
    </w:p>
    <w:p w:rsidR="00B31486" w:rsidRPr="00E84B76" w:rsidRDefault="00B31486" w:rsidP="00B31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A0E6C">
        <w:rPr>
          <w:b/>
          <w:sz w:val="28"/>
          <w:szCs w:val="28"/>
        </w:rPr>
        <w:t>БЮДЖЕТНЫЙ ПРОГНОЗ</w:t>
      </w:r>
    </w:p>
    <w:p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BA0E6C">
        <w:rPr>
          <w:b/>
          <w:sz w:val="28"/>
          <w:szCs w:val="28"/>
        </w:rPr>
        <w:t>Переславль-Залесского</w:t>
      </w:r>
      <w:proofErr w:type="gramEnd"/>
      <w:r w:rsidRPr="00BA0E6C">
        <w:rPr>
          <w:b/>
          <w:sz w:val="28"/>
          <w:szCs w:val="28"/>
        </w:rPr>
        <w:t xml:space="preserve"> муниципального округа Ярославской области</w:t>
      </w:r>
    </w:p>
    <w:p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A0E6C">
        <w:rPr>
          <w:b/>
          <w:sz w:val="28"/>
          <w:szCs w:val="28"/>
        </w:rPr>
        <w:t>на 2025-2030 годы</w:t>
      </w:r>
    </w:p>
    <w:p w:rsidR="00B31486" w:rsidRPr="00BA0E6C" w:rsidRDefault="00B31486" w:rsidP="00B31486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en-US"/>
        </w:rPr>
      </w:pPr>
    </w:p>
    <w:p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A0E6C">
        <w:rPr>
          <w:sz w:val="28"/>
          <w:szCs w:val="28"/>
        </w:rPr>
        <w:tab/>
      </w:r>
      <w:r w:rsidRPr="00197E53">
        <w:rPr>
          <w:sz w:val="26"/>
          <w:szCs w:val="26"/>
        </w:rPr>
        <w:t xml:space="preserve">Бюджетный прогноз Переславль-Залесского муниципального округа Ярославской области на 2025-2030 годы (далее - Бюджетный прогноз) разработан в соответствии с требованиями статьи 170.1 Бюджетного кодекса Российской Федерации и постановлением Администрации </w:t>
      </w:r>
      <w:proofErr w:type="spellStart"/>
      <w:r w:rsidRPr="00197E53">
        <w:rPr>
          <w:sz w:val="26"/>
          <w:szCs w:val="26"/>
        </w:rPr>
        <w:t>г</w:t>
      </w:r>
      <w:proofErr w:type="gramStart"/>
      <w:r w:rsidRPr="00197E53">
        <w:rPr>
          <w:sz w:val="26"/>
          <w:szCs w:val="26"/>
        </w:rPr>
        <w:t>.П</w:t>
      </w:r>
      <w:proofErr w:type="gramEnd"/>
      <w:r w:rsidRPr="00197E53">
        <w:rPr>
          <w:sz w:val="26"/>
          <w:szCs w:val="26"/>
        </w:rPr>
        <w:t>ереславля</w:t>
      </w:r>
      <w:proofErr w:type="spellEnd"/>
      <w:r w:rsidRPr="00197E53">
        <w:rPr>
          <w:sz w:val="26"/>
          <w:szCs w:val="26"/>
        </w:rPr>
        <w:t xml:space="preserve">-Залесского от 31.12.2015 № ПОС.03-1917/15 «О порядке разработки и утверждения бюджетного прогноза городского округа </w:t>
      </w:r>
      <w:proofErr w:type="spellStart"/>
      <w:r w:rsidRPr="00197E53">
        <w:rPr>
          <w:sz w:val="26"/>
          <w:szCs w:val="26"/>
        </w:rPr>
        <w:t>г.Переславля</w:t>
      </w:r>
      <w:proofErr w:type="spellEnd"/>
      <w:r w:rsidRPr="00197E53">
        <w:rPr>
          <w:sz w:val="26"/>
          <w:szCs w:val="26"/>
        </w:rPr>
        <w:t>-Залесского на долгосрочный период».</w:t>
      </w:r>
    </w:p>
    <w:p w:rsidR="00B31486" w:rsidRPr="00197E53" w:rsidRDefault="00B31486" w:rsidP="007A5120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Бюджетный прогноз разработан на 202</w:t>
      </w:r>
      <w:r w:rsidR="007A5120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7A5120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годы</w:t>
      </w:r>
      <w:r w:rsidR="007A5120" w:rsidRPr="00197E53">
        <w:rPr>
          <w:sz w:val="26"/>
          <w:szCs w:val="26"/>
        </w:rPr>
        <w:t xml:space="preserve"> на основании Прогноза социально-экономического развития </w:t>
      </w:r>
      <w:proofErr w:type="gramStart"/>
      <w:r w:rsidR="007A5120" w:rsidRPr="00197E53">
        <w:rPr>
          <w:sz w:val="26"/>
          <w:szCs w:val="26"/>
        </w:rPr>
        <w:t>Переславль-Залесского</w:t>
      </w:r>
      <w:proofErr w:type="gramEnd"/>
      <w:r w:rsidR="007A5120" w:rsidRPr="00197E53">
        <w:rPr>
          <w:sz w:val="26"/>
          <w:szCs w:val="26"/>
        </w:rPr>
        <w:t xml:space="preserve"> муниципального округа Ярославской области на долгосрочный период 2025-2030 годов, утвержденного постановлением Администрации города Переславля-Залесского от 14.10.2024 № ПОС.03-2576/24.</w:t>
      </w:r>
    </w:p>
    <w:p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Целью бюджетной </w:t>
      </w:r>
      <w:proofErr w:type="gramStart"/>
      <w:r w:rsidRPr="00197E53">
        <w:rPr>
          <w:sz w:val="26"/>
          <w:szCs w:val="26"/>
        </w:rPr>
        <w:t>политики на период</w:t>
      </w:r>
      <w:proofErr w:type="gramEnd"/>
      <w:r w:rsidRPr="00197E53">
        <w:rPr>
          <w:sz w:val="26"/>
          <w:szCs w:val="26"/>
        </w:rPr>
        <w:t xml:space="preserve"> 20</w:t>
      </w:r>
      <w:r w:rsidR="007A5120" w:rsidRPr="00197E53">
        <w:rPr>
          <w:sz w:val="26"/>
          <w:szCs w:val="26"/>
        </w:rPr>
        <w:t>25</w:t>
      </w:r>
      <w:r w:rsidRPr="00197E53">
        <w:rPr>
          <w:sz w:val="26"/>
          <w:szCs w:val="26"/>
        </w:rPr>
        <w:t>-20</w:t>
      </w:r>
      <w:r w:rsidR="007A5120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является совершенствование бюджетного процесса, обеспечение сбалансированности, устойчивости и финансовой стабильности бюджета </w:t>
      </w:r>
      <w:r w:rsidR="007A5120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, внедрение новых методов и технологий в формирование и исполнение бюджета </w:t>
      </w:r>
      <w:r w:rsidR="007A5120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. </w:t>
      </w:r>
    </w:p>
    <w:p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В долгосрочном периоде в сфере бюджетной политики будут реализованы такие мероприятия, как:</w:t>
      </w:r>
    </w:p>
    <w:p w:rsidR="00B31486" w:rsidRPr="00197E53" w:rsidRDefault="00B31486" w:rsidP="00BA0E6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повышение эффективности бюджетных расходов, в том числе посредством расширения практики вовлечения жителей </w:t>
      </w:r>
      <w:r w:rsidR="007A5120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в определение приоритетов расходования бюджетных средств, в том числе путем реализации проектов инициативного бюджетирования; </w:t>
      </w:r>
    </w:p>
    <w:p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>взаимодействие с федеральными и региональными органами исполнительной власти по привлечению средств из вышестоящих бюджетов путем активного участия в конкурсных отборах в рамках государственных программ, направленных</w:t>
      </w:r>
      <w:r w:rsidR="00BA0E6C" w:rsidRPr="00197E53">
        <w:rPr>
          <w:sz w:val="26"/>
          <w:szCs w:val="26"/>
        </w:rPr>
        <w:t xml:space="preserve"> </w:t>
      </w:r>
      <w:proofErr w:type="gramStart"/>
      <w:r w:rsidRPr="00197E53">
        <w:rPr>
          <w:sz w:val="26"/>
          <w:szCs w:val="26"/>
        </w:rPr>
        <w:t>на</w:t>
      </w:r>
      <w:proofErr w:type="gramEnd"/>
      <w:r w:rsidRPr="00197E53">
        <w:rPr>
          <w:sz w:val="26"/>
          <w:szCs w:val="26"/>
        </w:rPr>
        <w:t>:</w:t>
      </w:r>
    </w:p>
    <w:p w:rsidR="00B31486" w:rsidRPr="00197E53" w:rsidRDefault="00B31486" w:rsidP="007A5120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реализацию мероприятий по переселению граждан из аварийного и ветхого жилья; </w:t>
      </w:r>
    </w:p>
    <w:p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реализацию мероприятий, направленных на создание условий для занятий физической культурой и массовым спортом; </w:t>
      </w:r>
    </w:p>
    <w:p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6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продолжение работ по благоустройству и улучшению внешнего облика </w:t>
      </w:r>
      <w:r w:rsidR="007A5120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округа;</w:t>
      </w:r>
    </w:p>
    <w:p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проведение капитального ремонта и реконструкции зданий образовательных учреждений, находящихся в аварийном и ограниченно работоспособном состоянии; </w:t>
      </w:r>
    </w:p>
    <w:p w:rsidR="00B31486" w:rsidRPr="00197E53" w:rsidRDefault="00B31486" w:rsidP="007A5120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другие направления; </w:t>
      </w:r>
    </w:p>
    <w:p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сохранение достигнутого уровня содержания улично-дорожной сети и объектов внешнего благоустройства </w:t>
      </w:r>
      <w:r w:rsidR="00947E7F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; </w:t>
      </w:r>
    </w:p>
    <w:p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lastRenderedPageBreak/>
        <w:t xml:space="preserve">повышение открытости и прозрачности бюджета </w:t>
      </w:r>
      <w:r w:rsidR="00947E7F" w:rsidRPr="00197E53">
        <w:rPr>
          <w:sz w:val="26"/>
          <w:szCs w:val="26"/>
        </w:rPr>
        <w:t xml:space="preserve">муниципального </w:t>
      </w:r>
      <w:proofErr w:type="gramStart"/>
      <w:r w:rsidR="00947E7F" w:rsidRPr="00197E53">
        <w:rPr>
          <w:sz w:val="26"/>
          <w:szCs w:val="26"/>
        </w:rPr>
        <w:t>округа</w:t>
      </w:r>
      <w:proofErr w:type="gramEnd"/>
      <w:r w:rsidRPr="00197E53">
        <w:rPr>
          <w:sz w:val="26"/>
          <w:szCs w:val="26"/>
        </w:rPr>
        <w:t xml:space="preserve"> в рамках исполнения требований действующего законодательства по обеспечению прозрачности и публичности бюджетного процесса, росту уровня информированности и грамотности жителей в вопросах формирования, утверждения и исполнения бюджета, созданию условий для обратной связи горожан и органов местного самоуправления.</w:t>
      </w:r>
    </w:p>
    <w:p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При прогнозировании объема доходов и расходов бюджета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на период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учтено:</w:t>
      </w:r>
    </w:p>
    <w:p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- в доходах:</w:t>
      </w:r>
    </w:p>
    <w:p w:rsidR="00B31486" w:rsidRPr="00197E53" w:rsidRDefault="00B31486" w:rsidP="00B31486">
      <w:pPr>
        <w:ind w:firstLine="708"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1) прогноз налоговых и неналоговых (собственных) доходов – в соответствии с действующим налоговым и бюджетным законодательством, правовыми актами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округа, в том числе: по налоговым доходам – на основе ожидаемых итогов социально-экономического развития </w:t>
      </w:r>
      <w:r w:rsidR="00042386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 и показателей консервативного варианта </w:t>
      </w:r>
      <w:r w:rsidR="00882853" w:rsidRPr="00197E53">
        <w:rPr>
          <w:sz w:val="26"/>
          <w:szCs w:val="26"/>
        </w:rPr>
        <w:t>прогнозе социально-экономического развития Ярославской области на долгосрочный период 2022 - 2033 годов</w:t>
      </w:r>
      <w:r w:rsidRPr="00197E53">
        <w:rPr>
          <w:sz w:val="26"/>
          <w:szCs w:val="26"/>
        </w:rPr>
        <w:t xml:space="preserve">; по неналоговым доходам – на основе данных, предоставленных главными администраторами доходов бюджета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округа; </w:t>
      </w:r>
    </w:p>
    <w:p w:rsidR="00B31486" w:rsidRPr="00197E53" w:rsidRDefault="00B31486" w:rsidP="00B31486">
      <w:pPr>
        <w:ind w:firstLine="708"/>
        <w:jc w:val="both"/>
        <w:rPr>
          <w:sz w:val="26"/>
          <w:szCs w:val="26"/>
        </w:rPr>
      </w:pPr>
      <w:proofErr w:type="gramStart"/>
      <w:r w:rsidRPr="00197E53">
        <w:rPr>
          <w:sz w:val="26"/>
          <w:szCs w:val="26"/>
        </w:rPr>
        <w:t>2) прогноз безвозмездных поступлений: на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годы – в объеме, предусмотренном Переславль-Залесск</w:t>
      </w:r>
      <w:r w:rsidR="00C704D4" w:rsidRPr="00197E53">
        <w:rPr>
          <w:sz w:val="26"/>
          <w:szCs w:val="26"/>
        </w:rPr>
        <w:t>ому муниципальному округу</w:t>
      </w:r>
      <w:r w:rsidRPr="00197E53">
        <w:rPr>
          <w:sz w:val="26"/>
          <w:szCs w:val="26"/>
        </w:rPr>
        <w:t xml:space="preserve"> в проекте областного бюджета на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 xml:space="preserve"> год и плановый период 202</w:t>
      </w:r>
      <w:r w:rsidR="00C704D4" w:rsidRPr="00197E53">
        <w:rPr>
          <w:sz w:val="26"/>
          <w:szCs w:val="26"/>
        </w:rPr>
        <w:t>6</w:t>
      </w:r>
      <w:r w:rsidRPr="00197E53">
        <w:rPr>
          <w:sz w:val="26"/>
          <w:szCs w:val="26"/>
        </w:rPr>
        <w:t>-202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годов, а также проектах государственных программ Ярославской области на очередной финансовый год и плановый период в части межбюджетных трансфертов, получателем которых определен </w:t>
      </w:r>
      <w:r w:rsidR="00C704D4" w:rsidRPr="00197E53">
        <w:rPr>
          <w:sz w:val="26"/>
          <w:szCs w:val="26"/>
        </w:rPr>
        <w:t>муниципальный</w:t>
      </w:r>
      <w:r w:rsidRPr="00197E53">
        <w:rPr>
          <w:sz w:val="26"/>
          <w:szCs w:val="26"/>
        </w:rPr>
        <w:t xml:space="preserve"> округ</w:t>
      </w:r>
      <w:r w:rsidR="00C704D4" w:rsidRPr="00197E53">
        <w:rPr>
          <w:sz w:val="26"/>
          <w:szCs w:val="26"/>
        </w:rPr>
        <w:t>,</w:t>
      </w:r>
      <w:r w:rsidRPr="00197E53">
        <w:rPr>
          <w:sz w:val="26"/>
          <w:szCs w:val="26"/>
        </w:rPr>
        <w:t xml:space="preserve"> на 202</w:t>
      </w:r>
      <w:r w:rsidR="00C704D4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годы – на уровне 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года.</w:t>
      </w:r>
      <w:proofErr w:type="gramEnd"/>
    </w:p>
    <w:p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В расходах:</w:t>
      </w:r>
    </w:p>
    <w:p w:rsidR="00B31486" w:rsidRPr="00197E53" w:rsidRDefault="00B31486" w:rsidP="00B31486">
      <w:pPr>
        <w:ind w:left="75" w:firstLine="360"/>
        <w:jc w:val="both"/>
        <w:rPr>
          <w:sz w:val="26"/>
          <w:szCs w:val="26"/>
        </w:rPr>
      </w:pPr>
      <w:r w:rsidRPr="00197E53">
        <w:rPr>
          <w:sz w:val="26"/>
          <w:szCs w:val="26"/>
        </w:rPr>
        <w:t>1) приорит</w:t>
      </w:r>
      <w:r w:rsidR="00C704D4" w:rsidRPr="00197E53">
        <w:rPr>
          <w:sz w:val="26"/>
          <w:szCs w:val="26"/>
        </w:rPr>
        <w:t>етность</w:t>
      </w:r>
      <w:r w:rsidRPr="00197E53">
        <w:rPr>
          <w:sz w:val="26"/>
          <w:szCs w:val="26"/>
        </w:rPr>
        <w:t xml:space="preserve"> расходов, предполагающая исполнение в первоочередном порядке приоритетных расходных обязательств таких как: обеспечение выплаты заработной платы работников муниципальных учреждений, страховых взносов и налогов, коммунальных услуг, публичных нормативных обязательств и прочих расходов социального характера;</w:t>
      </w:r>
    </w:p>
    <w:p w:rsidR="00B31486" w:rsidRPr="00197E53" w:rsidRDefault="00B31486" w:rsidP="00B31486">
      <w:pPr>
        <w:ind w:firstLine="435"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2) сохранение программного принципа формирования расходов; </w:t>
      </w:r>
    </w:p>
    <w:p w:rsidR="00B31486" w:rsidRPr="00197E53" w:rsidRDefault="00B31486" w:rsidP="00B31486">
      <w:pPr>
        <w:ind w:left="75" w:firstLine="360"/>
        <w:jc w:val="both"/>
        <w:rPr>
          <w:sz w:val="26"/>
          <w:szCs w:val="26"/>
        </w:rPr>
      </w:pPr>
      <w:proofErr w:type="gramStart"/>
      <w:r w:rsidRPr="00197E53">
        <w:rPr>
          <w:sz w:val="26"/>
          <w:szCs w:val="26"/>
        </w:rPr>
        <w:t>3) формирование расходов на оплату труда работников бюджетной сферы на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годы, исходя из базового объема расходов 202</w:t>
      </w:r>
      <w:r w:rsidR="00C704D4" w:rsidRPr="00197E53">
        <w:rPr>
          <w:sz w:val="26"/>
          <w:szCs w:val="26"/>
        </w:rPr>
        <w:t>4</w:t>
      </w:r>
      <w:r w:rsidRPr="00197E53">
        <w:rPr>
          <w:sz w:val="26"/>
          <w:szCs w:val="26"/>
        </w:rPr>
        <w:t xml:space="preserve"> года с учетом: увеличения фондов оплаты труда отдельных категорий работников, </w:t>
      </w:r>
      <w:r w:rsidR="00F50B12" w:rsidRPr="00F50B12">
        <w:rPr>
          <w:sz w:val="26"/>
          <w:szCs w:val="26"/>
        </w:rPr>
        <w:t>в соответствии с</w:t>
      </w:r>
      <w:r w:rsidRPr="00F50B12">
        <w:rPr>
          <w:sz w:val="26"/>
          <w:szCs w:val="26"/>
        </w:rPr>
        <w:t xml:space="preserve"> указ</w:t>
      </w:r>
      <w:r w:rsidR="00F50B12" w:rsidRPr="00F50B12">
        <w:rPr>
          <w:sz w:val="26"/>
          <w:szCs w:val="26"/>
        </w:rPr>
        <w:t>ом</w:t>
      </w:r>
      <w:r w:rsidRPr="00F50B12">
        <w:rPr>
          <w:sz w:val="26"/>
          <w:szCs w:val="26"/>
        </w:rPr>
        <w:t xml:space="preserve"> Президента Российской Федерации </w:t>
      </w:r>
      <w:r w:rsidR="00F50B12" w:rsidRPr="00F50B12">
        <w:rPr>
          <w:sz w:val="26"/>
          <w:szCs w:val="26"/>
        </w:rPr>
        <w:t>от 07.05.2024 №309 «О национальных целях развития Российской Федерации на период до 2030 года и на перспективу до 2036 года».</w:t>
      </w:r>
      <w:proofErr w:type="gramEnd"/>
    </w:p>
    <w:p w:rsidR="00B31486" w:rsidRPr="00197E53" w:rsidRDefault="00B31486" w:rsidP="00B31486">
      <w:pPr>
        <w:ind w:left="75"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Прогноз основных характеристик бюджета </w:t>
      </w:r>
      <w:r w:rsidR="00B96F4D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представлен в приложении 1 к Бюджетному прогнозу. Показатели финансового обеспечения муниципальных программ на период 202</w:t>
      </w:r>
      <w:r w:rsidR="00B96F4D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-202</w:t>
      </w:r>
      <w:r w:rsidR="00B96F4D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 определены в объеме ассигнований, предусмотренных в бюджете на финансовое обеспечение реализации мероприятий муниципальных программ на 202</w:t>
      </w:r>
      <w:r w:rsidR="00B96F4D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 xml:space="preserve"> год и</w:t>
      </w:r>
      <w:r w:rsidR="009F557E" w:rsidRPr="00197E53">
        <w:rPr>
          <w:sz w:val="26"/>
          <w:szCs w:val="26"/>
        </w:rPr>
        <w:t xml:space="preserve"> на </w:t>
      </w:r>
      <w:r w:rsidRPr="00197E53">
        <w:rPr>
          <w:sz w:val="26"/>
          <w:szCs w:val="26"/>
        </w:rPr>
        <w:t>плановый период 202</w:t>
      </w:r>
      <w:r w:rsidR="00B96F4D" w:rsidRPr="00197E53">
        <w:rPr>
          <w:sz w:val="26"/>
          <w:szCs w:val="26"/>
        </w:rPr>
        <w:t>6</w:t>
      </w:r>
      <w:r w:rsidR="009F557E" w:rsidRPr="00197E53">
        <w:rPr>
          <w:sz w:val="26"/>
          <w:szCs w:val="26"/>
        </w:rPr>
        <w:t xml:space="preserve"> и </w:t>
      </w:r>
      <w:r w:rsidRPr="00197E53">
        <w:rPr>
          <w:sz w:val="26"/>
          <w:szCs w:val="26"/>
        </w:rPr>
        <w:t>202</w:t>
      </w:r>
      <w:r w:rsidR="00B96F4D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годов; 202</w:t>
      </w:r>
      <w:r w:rsidR="009F557E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9F557E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– на уровне </w:t>
      </w:r>
      <w:proofErr w:type="gramStart"/>
      <w:r w:rsidRPr="00197E53">
        <w:rPr>
          <w:sz w:val="26"/>
          <w:szCs w:val="26"/>
        </w:rPr>
        <w:t>объема финансового обеспечения реализации мероприятий муниципальных программ</w:t>
      </w:r>
      <w:proofErr w:type="gramEnd"/>
      <w:r w:rsidRPr="00197E53">
        <w:rPr>
          <w:sz w:val="26"/>
          <w:szCs w:val="26"/>
        </w:rPr>
        <w:t xml:space="preserve"> в 202</w:t>
      </w:r>
      <w:r w:rsidR="00D62B86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году, с учетом увеличения расходов в рамках муниципальных программ на прирост собственных доходов бюджета города в 202</w:t>
      </w:r>
      <w:r w:rsidR="00A57A77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A57A77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годах к уровню 202</w:t>
      </w:r>
      <w:r w:rsidR="00D62B86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года.</w:t>
      </w:r>
    </w:p>
    <w:p w:rsidR="00B31486" w:rsidRDefault="00B31486" w:rsidP="00B31486">
      <w:pPr>
        <w:ind w:left="75"/>
        <w:jc w:val="both"/>
        <w:rPr>
          <w:sz w:val="28"/>
          <w:szCs w:val="28"/>
        </w:rPr>
      </w:pPr>
      <w:r w:rsidRPr="0030752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268"/>
        <w:gridCol w:w="1268"/>
        <w:gridCol w:w="1268"/>
        <w:gridCol w:w="1268"/>
        <w:gridCol w:w="1268"/>
        <w:gridCol w:w="1268"/>
      </w:tblGrid>
      <w:tr w:rsidR="00B31486" w:rsidRPr="00E84B76" w:rsidTr="00644706">
        <w:trPr>
          <w:trHeight w:val="42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B12" w:rsidRDefault="00F50B12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</w:p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bookmarkStart w:id="0" w:name="_GoBack"/>
            <w:bookmarkEnd w:id="0"/>
            <w:r w:rsidRPr="00E84B76">
              <w:rPr>
                <w:rFonts w:eastAsia="Calibri"/>
                <w:bCs/>
              </w:rPr>
              <w:t>Таблица 1</w:t>
            </w:r>
          </w:p>
        </w:tc>
      </w:tr>
      <w:tr w:rsidR="00B31486" w:rsidRPr="00E84B76" w:rsidTr="00644706">
        <w:trPr>
          <w:trHeight w:val="315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197E53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bookmarkStart w:id="1" w:name="RANGE!A6"/>
            <w:r w:rsidRPr="00197E53">
              <w:rPr>
                <w:rFonts w:eastAsia="Calibri"/>
                <w:bCs/>
                <w:sz w:val="26"/>
                <w:szCs w:val="26"/>
              </w:rPr>
              <w:t xml:space="preserve">Прогноз основных характеристик бюджета </w:t>
            </w:r>
            <w:proofErr w:type="gramStart"/>
            <w:r w:rsidRPr="00197E53">
              <w:rPr>
                <w:rFonts w:eastAsia="Calibri"/>
                <w:bCs/>
                <w:sz w:val="26"/>
                <w:szCs w:val="26"/>
              </w:rPr>
              <w:t>Переславль-Залесск</w:t>
            </w:r>
            <w:bookmarkEnd w:id="1"/>
            <w:r w:rsidR="007E0215" w:rsidRPr="00197E53">
              <w:rPr>
                <w:rFonts w:eastAsia="Calibri"/>
                <w:bCs/>
                <w:sz w:val="26"/>
                <w:szCs w:val="26"/>
              </w:rPr>
              <w:t>ого</w:t>
            </w:r>
            <w:proofErr w:type="gramEnd"/>
            <w:r w:rsidR="007E0215" w:rsidRPr="00197E53">
              <w:rPr>
                <w:rFonts w:eastAsia="Calibri"/>
                <w:bCs/>
                <w:sz w:val="26"/>
                <w:szCs w:val="26"/>
              </w:rPr>
              <w:t xml:space="preserve"> муниципального округа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Ярославской области на период 202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5</w:t>
            </w:r>
            <w:r w:rsidRPr="00197E53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30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гг.</w:t>
            </w:r>
          </w:p>
        </w:tc>
      </w:tr>
      <w:tr w:rsidR="00B31486" w:rsidRPr="00E84B76" w:rsidTr="00644706">
        <w:trPr>
          <w:trHeight w:val="315"/>
        </w:trPr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(млн. руб.)</w:t>
            </w:r>
          </w:p>
        </w:tc>
      </w:tr>
      <w:tr w:rsidR="00B31486" w:rsidRPr="00E84B76" w:rsidTr="00644706">
        <w:trPr>
          <w:trHeight w:val="555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84B76">
              <w:rPr>
                <w:rFonts w:eastAsia="Calibri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5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6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7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202</w:t>
            </w:r>
            <w:r w:rsidR="007E0215">
              <w:rPr>
                <w:color w:val="332E2D"/>
              </w:rPr>
              <w:t>8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202</w:t>
            </w:r>
            <w:r w:rsidR="007E0215">
              <w:rPr>
                <w:color w:val="332E2D"/>
              </w:rPr>
              <w:t>9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 w:rsidR="007E0215">
              <w:rPr>
                <w:color w:val="332E2D"/>
              </w:rPr>
              <w:t>30</w:t>
            </w:r>
            <w:r w:rsidRPr="00E84B76">
              <w:rPr>
                <w:color w:val="332E2D"/>
              </w:rPr>
              <w:t xml:space="preserve"> год </w:t>
            </w:r>
          </w:p>
        </w:tc>
      </w:tr>
      <w:tr w:rsidR="00B31486" w:rsidRPr="00E84B76" w:rsidTr="00644706">
        <w:trPr>
          <w:trHeight w:val="315"/>
        </w:trPr>
        <w:tc>
          <w:tcPr>
            <w:tcW w:w="1962" w:type="dxa"/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7</w:t>
            </w:r>
          </w:p>
        </w:tc>
      </w:tr>
      <w:tr w:rsidR="00B31486" w:rsidRPr="00656C7B" w:rsidTr="00644706">
        <w:trPr>
          <w:trHeight w:val="450"/>
        </w:trPr>
        <w:tc>
          <w:tcPr>
            <w:tcW w:w="1962" w:type="dxa"/>
            <w:shd w:val="clear" w:color="auto" w:fill="auto"/>
            <w:hideMark/>
          </w:tcPr>
          <w:p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ДОХОДЫ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2387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2356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2462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2565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2681</w:t>
            </w:r>
          </w:p>
        </w:tc>
      </w:tr>
      <w:tr w:rsidR="00B31486" w:rsidRPr="00656C7B" w:rsidTr="00644706">
        <w:trPr>
          <w:trHeight w:val="405"/>
        </w:trPr>
        <w:tc>
          <w:tcPr>
            <w:tcW w:w="1962" w:type="dxa"/>
            <w:shd w:val="clear" w:color="auto" w:fill="auto"/>
            <w:hideMark/>
          </w:tcPr>
          <w:p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РАСХОДЫ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2356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2462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E90C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D62B86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2681</w:t>
            </w:r>
          </w:p>
        </w:tc>
      </w:tr>
      <w:tr w:rsidR="00B31486" w:rsidRPr="00E84B76" w:rsidTr="00644706">
        <w:trPr>
          <w:trHeight w:val="630"/>
        </w:trPr>
        <w:tc>
          <w:tcPr>
            <w:tcW w:w="1962" w:type="dxa"/>
            <w:shd w:val="clear" w:color="auto" w:fill="auto"/>
            <w:hideMark/>
          </w:tcPr>
          <w:p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ДЕФИЦИТ/</w:t>
            </w:r>
          </w:p>
          <w:p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ПРОФИЦИТ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31486" w:rsidRPr="00656C7B" w:rsidRDefault="007E0215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B31486" w:rsidRPr="00E84B76" w:rsidRDefault="00B31486" w:rsidP="00B31486">
      <w:pPr>
        <w:autoSpaceDE w:val="0"/>
        <w:autoSpaceDN w:val="0"/>
        <w:adjustRightInd w:val="0"/>
        <w:contextualSpacing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9"/>
        <w:gridCol w:w="139"/>
        <w:gridCol w:w="916"/>
        <w:gridCol w:w="916"/>
        <w:gridCol w:w="916"/>
        <w:gridCol w:w="916"/>
        <w:gridCol w:w="916"/>
        <w:gridCol w:w="916"/>
      </w:tblGrid>
      <w:tr w:rsidR="00B31486" w:rsidRPr="00E84B76" w:rsidTr="00D62B86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Таблица 2</w:t>
            </w:r>
          </w:p>
        </w:tc>
      </w:tr>
      <w:tr w:rsidR="00B31486" w:rsidRPr="00E84B76" w:rsidTr="00D62B86">
        <w:trPr>
          <w:trHeight w:val="315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197E53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97E53">
              <w:rPr>
                <w:rFonts w:eastAsia="Calibri"/>
                <w:bCs/>
                <w:sz w:val="26"/>
                <w:szCs w:val="26"/>
              </w:rPr>
              <w:t xml:space="preserve">Основные подходы к формированию бюджетной политики </w:t>
            </w:r>
          </w:p>
          <w:p w:rsidR="00B31486" w:rsidRPr="00197E53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proofErr w:type="gramStart"/>
            <w:r w:rsidRPr="00197E53">
              <w:rPr>
                <w:rFonts w:eastAsia="Calibri"/>
                <w:bCs/>
                <w:sz w:val="26"/>
                <w:szCs w:val="26"/>
              </w:rPr>
              <w:t>Переславль-Залесск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ого</w:t>
            </w:r>
            <w:proofErr w:type="gramEnd"/>
            <w:r w:rsidR="007E0215" w:rsidRPr="00197E53">
              <w:rPr>
                <w:rFonts w:eastAsia="Calibri"/>
                <w:bCs/>
                <w:sz w:val="26"/>
                <w:szCs w:val="26"/>
              </w:rPr>
              <w:t xml:space="preserve"> муниципального округа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Ярославской области</w:t>
            </w:r>
          </w:p>
        </w:tc>
      </w:tr>
      <w:tr w:rsidR="00B31486" w:rsidRPr="00E84B76" w:rsidTr="00D62B86">
        <w:trPr>
          <w:trHeight w:val="315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197E53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97E53">
              <w:rPr>
                <w:rFonts w:eastAsia="Calibri"/>
                <w:bCs/>
                <w:sz w:val="26"/>
                <w:szCs w:val="26"/>
              </w:rPr>
              <w:t>на период 202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5</w:t>
            </w:r>
            <w:r w:rsidRPr="00197E53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30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гг.</w:t>
            </w:r>
          </w:p>
        </w:tc>
      </w:tr>
      <w:tr w:rsidR="00B31486" w:rsidRPr="00E84B76" w:rsidTr="00D62B86">
        <w:trPr>
          <w:trHeight w:val="315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(%)</w:t>
            </w:r>
          </w:p>
        </w:tc>
      </w:tr>
      <w:tr w:rsidR="00B31486" w:rsidRPr="00E84B76" w:rsidTr="00D62B86">
        <w:trPr>
          <w:trHeight w:val="795"/>
        </w:trPr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Код  раздела</w:t>
            </w: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Наименование раздела  классификации расходов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5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6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7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8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9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</w:t>
            </w:r>
            <w:r w:rsidR="007E0215">
              <w:rPr>
                <w:rFonts w:eastAsia="Calibri"/>
              </w:rPr>
              <w:t>30</w:t>
            </w:r>
            <w:r w:rsidRPr="00E84B76">
              <w:rPr>
                <w:rFonts w:eastAsia="Calibri"/>
              </w:rPr>
              <w:t xml:space="preserve"> год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0100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Общегосударственные вопросы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7,83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6,75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6,84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7,15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,45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,79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0300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Национальная безопасность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0,16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0400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Национальная экономика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19,91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6,66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6,52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6,80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7,09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,4</w:t>
            </w:r>
            <w:r w:rsidRPr="00967FB6">
              <w:rPr>
                <w:color w:val="332E2D"/>
              </w:rPr>
              <w:t>1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0500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Жилищно-коммунальное хозяйство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8,09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13,80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10,96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11,45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</w:t>
            </w:r>
            <w:r w:rsidR="00967FB6" w:rsidRPr="00967FB6">
              <w:rPr>
                <w:color w:val="332E2D"/>
              </w:rPr>
              <w:t>0</w:t>
            </w:r>
            <w:r w:rsidRPr="00967FB6">
              <w:rPr>
                <w:color w:val="332E2D"/>
              </w:rPr>
              <w:t>,93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10,42</w:t>
            </w:r>
          </w:p>
        </w:tc>
      </w:tr>
      <w:tr w:rsidR="00B31486" w:rsidRPr="00967FB6" w:rsidTr="00D62B86">
        <w:trPr>
          <w:trHeight w:val="475"/>
        </w:trPr>
        <w:tc>
          <w:tcPr>
            <w:tcW w:w="1470" w:type="dxa"/>
            <w:shd w:val="clear" w:color="auto" w:fill="auto"/>
            <w:vAlign w:val="center"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0600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Охрана окружающей среды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0,80</w:t>
            </w:r>
          </w:p>
        </w:tc>
      </w:tr>
      <w:tr w:rsidR="00B31486" w:rsidRPr="00967FB6" w:rsidTr="00D62B86">
        <w:trPr>
          <w:trHeight w:val="47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0700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Образование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48,22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55,14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56,25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56,78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</w:t>
            </w:r>
            <w:r w:rsidR="00967FB6" w:rsidRPr="00967FB6">
              <w:rPr>
                <w:color w:val="332E2D"/>
              </w:rPr>
              <w:t>7</w:t>
            </w:r>
            <w:r w:rsidRPr="00967FB6">
              <w:rPr>
                <w:color w:val="332E2D"/>
              </w:rPr>
              <w:t>,16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58,19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0800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Культура и кинематография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3,68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3,81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3,94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4,12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4,48</w:t>
            </w:r>
          </w:p>
        </w:tc>
      </w:tr>
      <w:tr w:rsidR="00B31486" w:rsidRPr="00967FB6" w:rsidTr="00D62B86">
        <w:trPr>
          <w:trHeight w:val="451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1000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Социальная политика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8,11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9,88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10,48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10,72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10,20</w:t>
            </w:r>
          </w:p>
        </w:tc>
      </w:tr>
      <w:tr w:rsidR="00B31486" w:rsidRPr="00967FB6" w:rsidTr="00D62B86">
        <w:trPr>
          <w:trHeight w:val="645"/>
        </w:trPr>
        <w:tc>
          <w:tcPr>
            <w:tcW w:w="1470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1100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Физическая культура и спорт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3,14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2,16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2,24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2,34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2,44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2,55</w:t>
            </w:r>
          </w:p>
        </w:tc>
      </w:tr>
      <w:tr w:rsidR="00197E53" w:rsidRPr="00967FB6" w:rsidTr="00D62B86">
        <w:trPr>
          <w:trHeight w:val="379"/>
        </w:trPr>
        <w:tc>
          <w:tcPr>
            <w:tcW w:w="1470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49" w:type="dxa"/>
            <w:shd w:val="clear" w:color="auto" w:fill="auto"/>
          </w:tcPr>
          <w:p w:rsidR="00197E53" w:rsidRPr="00967FB6" w:rsidRDefault="00197E53" w:rsidP="00197E5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967FB6">
              <w:rPr>
                <w:rFonts w:eastAsia="Calibri"/>
              </w:rPr>
              <w:t xml:space="preserve">Условно </w:t>
            </w:r>
            <w:r w:rsidR="00D62B86" w:rsidRPr="00967FB6">
              <w:rPr>
                <w:rFonts w:eastAsia="Calibri"/>
              </w:rPr>
              <w:t>у</w:t>
            </w:r>
            <w:r w:rsidRPr="00967FB6">
              <w:rPr>
                <w:rFonts w:eastAsia="Calibri"/>
              </w:rPr>
              <w:t>твержденные расходы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1,12</w:t>
            </w:r>
          </w:p>
        </w:tc>
        <w:tc>
          <w:tcPr>
            <w:tcW w:w="916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2,38</w:t>
            </w:r>
          </w:p>
        </w:tc>
        <w:tc>
          <w:tcPr>
            <w:tcW w:w="916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</w:tr>
      <w:tr w:rsidR="00B31486" w:rsidRPr="00E84B76" w:rsidTr="00D62B86">
        <w:trPr>
          <w:trHeight w:val="379"/>
        </w:trPr>
        <w:tc>
          <w:tcPr>
            <w:tcW w:w="1470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49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 xml:space="preserve">ИТОГО РАСХОДОВ 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</w:tr>
    </w:tbl>
    <w:p w:rsidR="00B31486" w:rsidRPr="00E84B76" w:rsidRDefault="00B31486" w:rsidP="00B31486">
      <w:pPr>
        <w:autoSpaceDE w:val="0"/>
        <w:autoSpaceDN w:val="0"/>
        <w:adjustRightInd w:val="0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047"/>
        <w:gridCol w:w="926"/>
        <w:gridCol w:w="925"/>
        <w:gridCol w:w="925"/>
        <w:gridCol w:w="925"/>
        <w:gridCol w:w="1845"/>
      </w:tblGrid>
      <w:tr w:rsidR="00B31486" w:rsidRPr="00E3295A" w:rsidTr="00644706">
        <w:trPr>
          <w:trHeight w:val="473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3295A">
              <w:rPr>
                <w:rFonts w:eastAsia="Calibri"/>
                <w:bCs/>
              </w:rPr>
              <w:t>Таблица 3</w:t>
            </w:r>
          </w:p>
        </w:tc>
      </w:tr>
      <w:tr w:rsidR="00B31486" w:rsidRPr="00E3295A" w:rsidTr="00644706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1486" w:rsidRPr="00681F90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81F90">
              <w:rPr>
                <w:rFonts w:eastAsia="Calibri"/>
                <w:bCs/>
                <w:sz w:val="26"/>
                <w:szCs w:val="26"/>
              </w:rPr>
              <w:t xml:space="preserve">Показатели финансового обеспечения муниципальных программ </w:t>
            </w:r>
          </w:p>
          <w:p w:rsidR="00B31486" w:rsidRPr="00681F90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proofErr w:type="gramStart"/>
            <w:r w:rsidRPr="00681F90">
              <w:rPr>
                <w:rFonts w:eastAsia="Calibri"/>
                <w:bCs/>
                <w:sz w:val="26"/>
                <w:szCs w:val="26"/>
              </w:rPr>
              <w:t>Переславль-Залесск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ого</w:t>
            </w:r>
            <w:proofErr w:type="gramEnd"/>
            <w:r w:rsidR="007E0215" w:rsidRPr="00681F90">
              <w:rPr>
                <w:rFonts w:eastAsia="Calibri"/>
                <w:bCs/>
                <w:sz w:val="26"/>
                <w:szCs w:val="26"/>
              </w:rPr>
              <w:t xml:space="preserve"> муниципального округа</w:t>
            </w:r>
            <w:r w:rsidRPr="00681F90">
              <w:rPr>
                <w:rFonts w:eastAsia="Calibri"/>
                <w:bCs/>
                <w:sz w:val="26"/>
                <w:szCs w:val="26"/>
              </w:rPr>
              <w:t xml:space="preserve"> Ярославской области </w:t>
            </w:r>
          </w:p>
          <w:p w:rsidR="00B31486" w:rsidRPr="00E3295A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  <w:r w:rsidRPr="00681F90">
              <w:rPr>
                <w:rFonts w:eastAsia="Calibri"/>
                <w:bCs/>
                <w:sz w:val="26"/>
                <w:szCs w:val="26"/>
              </w:rPr>
              <w:lastRenderedPageBreak/>
              <w:t>на период 202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5</w:t>
            </w:r>
            <w:r w:rsidRPr="00681F90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30</w:t>
            </w:r>
            <w:r w:rsidRPr="00681F90">
              <w:rPr>
                <w:rFonts w:eastAsia="Calibri"/>
                <w:bCs/>
                <w:sz w:val="26"/>
                <w:szCs w:val="26"/>
              </w:rPr>
              <w:t xml:space="preserve"> гг.</w:t>
            </w:r>
          </w:p>
        </w:tc>
      </w:tr>
      <w:tr w:rsidR="00B31486" w:rsidRPr="00E3295A" w:rsidTr="00644706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486" w:rsidRPr="00093558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093558">
              <w:rPr>
                <w:rFonts w:eastAsia="Calibri"/>
                <w:bCs/>
              </w:rPr>
              <w:lastRenderedPageBreak/>
              <w:t>(млн. руб.)</w:t>
            </w: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596"/>
              <w:gridCol w:w="2709"/>
              <w:gridCol w:w="919"/>
              <w:gridCol w:w="918"/>
              <w:gridCol w:w="918"/>
              <w:gridCol w:w="918"/>
              <w:gridCol w:w="1173"/>
              <w:gridCol w:w="1194"/>
            </w:tblGrid>
            <w:tr w:rsidR="00B31486" w:rsidRPr="00093558" w:rsidTr="00644706">
              <w:trPr>
                <w:trHeight w:val="636"/>
              </w:trPr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 xml:space="preserve">N </w:t>
                  </w:r>
                  <w:proofErr w:type="gramStart"/>
                  <w:r w:rsidRPr="00093558">
                    <w:rPr>
                      <w:bCs/>
                    </w:rPr>
                    <w:t>п</w:t>
                  </w:r>
                  <w:proofErr w:type="gramEnd"/>
                  <w:r w:rsidRPr="00093558">
                    <w:rPr>
                      <w:bCs/>
                    </w:rPr>
                    <w:t>/п </w:t>
                  </w:r>
                </w:p>
              </w:tc>
              <w:tc>
                <w:tcPr>
                  <w:tcW w:w="2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Наименование муниципальной программы городского округа город Переславль-Залесский Ярославской области</w:t>
                  </w:r>
                </w:p>
              </w:tc>
              <w:tc>
                <w:tcPr>
                  <w:tcW w:w="607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E90CA1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 xml:space="preserve">Расходы бюджета </w:t>
                  </w:r>
                  <w:proofErr w:type="gramStart"/>
                  <w:r w:rsidRPr="00093558">
                    <w:rPr>
                      <w:bCs/>
                    </w:rPr>
                    <w:t>Переславль-Залесск</w:t>
                  </w:r>
                  <w:r w:rsidR="00E90CA1" w:rsidRPr="00093558">
                    <w:rPr>
                      <w:bCs/>
                    </w:rPr>
                    <w:t>ого</w:t>
                  </w:r>
                  <w:proofErr w:type="gramEnd"/>
                  <w:r w:rsidR="00E90CA1" w:rsidRPr="00093558">
                    <w:rPr>
                      <w:bCs/>
                    </w:rPr>
                    <w:t xml:space="preserve"> муниципального округа</w:t>
                  </w:r>
                  <w:r w:rsidRPr="00093558">
                    <w:rPr>
                      <w:bCs/>
                    </w:rPr>
                    <w:t xml:space="preserve"> Ярославской области на финансовое обеспечение реализации муниципальных программ</w:t>
                  </w:r>
                </w:p>
              </w:tc>
            </w:tr>
            <w:tr w:rsidR="00B31486" w:rsidRPr="00093558" w:rsidTr="00644706">
              <w:trPr>
                <w:trHeight w:val="348"/>
              </w:trPr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bCs/>
                    </w:rPr>
                  </w:pPr>
                </w:p>
              </w:tc>
              <w:tc>
                <w:tcPr>
                  <w:tcW w:w="2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bCs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5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6</w:t>
                  </w:r>
                </w:p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7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8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9</w:t>
                  </w:r>
                  <w:r w:rsidRPr="00093558">
                    <w:rPr>
                      <w:bCs/>
                    </w:rPr>
                    <w:t xml:space="preserve"> </w:t>
                  </w:r>
                </w:p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</w:t>
                  </w:r>
                  <w:r w:rsidR="007E0215" w:rsidRPr="00093558">
                    <w:rPr>
                      <w:bCs/>
                    </w:rPr>
                    <w:t>30</w:t>
                  </w:r>
                </w:p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Развитие образования и молодежная политика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1412,3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1310,5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1319,5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9A49D7">
                  <w:pPr>
                    <w:jc w:val="center"/>
                  </w:pPr>
                  <w:r w:rsidRPr="00093558">
                    <w:t>1378,9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1436,8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1501,4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Социальная поддержка населения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196,0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192,3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192,5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9A49D7">
                  <w:pPr>
                    <w:jc w:val="center"/>
                  </w:pPr>
                  <w:r w:rsidRPr="00093558">
                    <w:t>201,2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9A49D7">
                  <w:pPr>
                    <w:jc w:val="center"/>
                  </w:pPr>
                  <w:r w:rsidRPr="00093558">
                    <w:t>201,2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201,2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Обеспечение доступным и комфортным жильем населения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33,0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11,6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11,9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12,2</w:t>
                  </w:r>
                </w:p>
              </w:tc>
            </w:tr>
            <w:tr w:rsidR="00B31486" w:rsidRPr="00093558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8,5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2D6171">
                  <w:pPr>
                    <w:jc w:val="center"/>
                  </w:pPr>
                  <w:r w:rsidRPr="00093558">
                    <w:t>6,</w:t>
                  </w:r>
                  <w:r w:rsidR="002D6171" w:rsidRPr="00093558">
                    <w:t>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6,4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5,6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5,7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5,8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Развитие физической культуры, культуры и туризма в городском округе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218,7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160,1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163,4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170,7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177,9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185,9</w:t>
                  </w:r>
                </w:p>
              </w:tc>
            </w:tr>
            <w:tr w:rsidR="00B31486" w:rsidRPr="00093558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Обеспечение качественными коммунальными услугами населения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16,1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168,6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462E20">
                  <w:pPr>
                    <w:jc w:val="center"/>
                  </w:pPr>
                  <w:r w:rsidRPr="00093558">
                    <w:t>71,0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74,2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9A49D7">
                  <w:pPr>
                    <w:jc w:val="center"/>
                  </w:pPr>
                  <w:r w:rsidRPr="00093558">
                    <w:t>77,3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77,3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Развитие дорожного хозяйства в городском округе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573,8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158,1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152,1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132,6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134,6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137,0</w:t>
                  </w:r>
                </w:p>
              </w:tc>
            </w:tr>
            <w:tr w:rsidR="00B31486" w:rsidRPr="00093558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Развитие сельского хозяйства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13,1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14,3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14,3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</w:tr>
            <w:tr w:rsidR="00B31486" w:rsidRPr="00093558" w:rsidTr="00644706">
              <w:trPr>
                <w:trHeight w:val="528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lastRenderedPageBreak/>
                    <w:t>9.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93558">
                    <w:rPr>
                      <w:sz w:val="22"/>
                      <w:szCs w:val="22"/>
                    </w:rPr>
                    <w:t>Энергоэффективность</w:t>
                  </w:r>
                  <w:proofErr w:type="spellEnd"/>
                  <w:r w:rsidRPr="00093558">
                    <w:rPr>
                      <w:sz w:val="22"/>
                      <w:szCs w:val="22"/>
                    </w:rPr>
                    <w:t xml:space="preserve"> в городском округе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4,9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5,1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5,1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3,2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3,3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3,5</w:t>
                  </w:r>
                </w:p>
              </w:tc>
            </w:tr>
            <w:tr w:rsidR="00B31486" w:rsidRPr="00093558" w:rsidTr="00644706">
              <w:trPr>
                <w:trHeight w:val="528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Охрана окружающей среды в городском округе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37,8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21,9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25,5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15,3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15,8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16,4</w:t>
                  </w:r>
                </w:p>
              </w:tc>
            </w:tr>
            <w:tr w:rsidR="00B31486" w:rsidRPr="00093558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33,3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20,1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19,8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22,1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22,8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23,7</w:t>
                  </w:r>
                </w:p>
              </w:tc>
            </w:tr>
            <w:tr w:rsidR="00B31486" w:rsidRPr="00093558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Обеспечение функционирования и развития муниципальной службы в городском округе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165,4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150,3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151,1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</w:tr>
            <w:tr w:rsidR="00B31486" w:rsidRPr="00093558" w:rsidTr="00644706">
              <w:trPr>
                <w:trHeight w:val="804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Формирование современной городской среды на территории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2,5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1,4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1,5</w:t>
                  </w:r>
                </w:p>
              </w:tc>
            </w:tr>
            <w:tr w:rsidR="00B31486" w:rsidRPr="00093558" w:rsidTr="00644706">
              <w:trPr>
                <w:trHeight w:val="804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Комплексное развитие сельских территорий городского округа город Переславль-Залесский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462E20" w:rsidP="00644706">
                  <w:pPr>
                    <w:jc w:val="center"/>
                  </w:pPr>
                  <w:r w:rsidRPr="00093558">
                    <w:t>14,2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</w:tr>
            <w:tr w:rsidR="00B31486" w:rsidRPr="00E3295A" w:rsidTr="00644706">
              <w:trPr>
                <w:trHeight w:val="525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1486" w:rsidRPr="00093558" w:rsidRDefault="00B31486" w:rsidP="00644706">
                  <w:pPr>
                    <w:rPr>
                      <w:rFonts w:ascii="Calibri" w:hAnsi="Calibri"/>
                    </w:rPr>
                  </w:pPr>
                  <w:r w:rsidRPr="00093558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ИТОГО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462E20">
                  <w:pPr>
                    <w:ind w:right="-21"/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2729,6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2210,3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462E20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2123,3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2189,6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093558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2261,5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486" w:rsidRPr="00E3295A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2338,7</w:t>
                  </w:r>
                </w:p>
              </w:tc>
            </w:tr>
          </w:tbl>
          <w:p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</w:p>
        </w:tc>
      </w:tr>
    </w:tbl>
    <w:p w:rsidR="00B31486" w:rsidRPr="00E3295A" w:rsidRDefault="00B31486" w:rsidP="00B31486">
      <w:pPr>
        <w:autoSpaceDE w:val="0"/>
        <w:autoSpaceDN w:val="0"/>
        <w:adjustRightInd w:val="0"/>
        <w:contextualSpacing/>
      </w:pPr>
    </w:p>
    <w:p w:rsidR="00B31486" w:rsidRPr="00E3295A" w:rsidRDefault="00B31486" w:rsidP="00B31486">
      <w:pPr>
        <w:autoSpaceDE w:val="0"/>
        <w:autoSpaceDN w:val="0"/>
        <w:adjustRightInd w:val="0"/>
        <w:contextualSpacing/>
      </w:pPr>
    </w:p>
    <w:p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7051"/>
    <w:multiLevelType w:val="hybridMultilevel"/>
    <w:tmpl w:val="66D8E1EC"/>
    <w:lvl w:ilvl="0" w:tplc="7F86C7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CD241F"/>
    <w:multiLevelType w:val="hybridMultilevel"/>
    <w:tmpl w:val="4FAE35C0"/>
    <w:lvl w:ilvl="0" w:tplc="61624AD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625D"/>
    <w:rsid w:val="00042386"/>
    <w:rsid w:val="000457A3"/>
    <w:rsid w:val="000753AA"/>
    <w:rsid w:val="00093558"/>
    <w:rsid w:val="00093953"/>
    <w:rsid w:val="000B4031"/>
    <w:rsid w:val="000D2FF0"/>
    <w:rsid w:val="0019600E"/>
    <w:rsid w:val="00197E53"/>
    <w:rsid w:val="002765A6"/>
    <w:rsid w:val="002A106E"/>
    <w:rsid w:val="002A4F2B"/>
    <w:rsid w:val="002D6171"/>
    <w:rsid w:val="002F2254"/>
    <w:rsid w:val="003061F3"/>
    <w:rsid w:val="00340DB6"/>
    <w:rsid w:val="003C7DDF"/>
    <w:rsid w:val="003D5797"/>
    <w:rsid w:val="004075CC"/>
    <w:rsid w:val="00436CEE"/>
    <w:rsid w:val="00456EC5"/>
    <w:rsid w:val="00462E20"/>
    <w:rsid w:val="004919B4"/>
    <w:rsid w:val="004A3D2A"/>
    <w:rsid w:val="004E554B"/>
    <w:rsid w:val="00513CE1"/>
    <w:rsid w:val="005318AE"/>
    <w:rsid w:val="0056557D"/>
    <w:rsid w:val="00574A17"/>
    <w:rsid w:val="005B621C"/>
    <w:rsid w:val="005D277E"/>
    <w:rsid w:val="00681F90"/>
    <w:rsid w:val="006C1F19"/>
    <w:rsid w:val="006E6084"/>
    <w:rsid w:val="006F63E9"/>
    <w:rsid w:val="0078211D"/>
    <w:rsid w:val="007A5120"/>
    <w:rsid w:val="007E0215"/>
    <w:rsid w:val="007E2F83"/>
    <w:rsid w:val="00801010"/>
    <w:rsid w:val="00882853"/>
    <w:rsid w:val="0088598F"/>
    <w:rsid w:val="00885B0E"/>
    <w:rsid w:val="008C09A2"/>
    <w:rsid w:val="0092079F"/>
    <w:rsid w:val="00947E7F"/>
    <w:rsid w:val="009551DF"/>
    <w:rsid w:val="00967FB6"/>
    <w:rsid w:val="009A49D7"/>
    <w:rsid w:val="009B4476"/>
    <w:rsid w:val="009F557E"/>
    <w:rsid w:val="00A214E5"/>
    <w:rsid w:val="00A57A77"/>
    <w:rsid w:val="00A9274A"/>
    <w:rsid w:val="00B025C6"/>
    <w:rsid w:val="00B1233F"/>
    <w:rsid w:val="00B31486"/>
    <w:rsid w:val="00B326C8"/>
    <w:rsid w:val="00B40D99"/>
    <w:rsid w:val="00B84B00"/>
    <w:rsid w:val="00B92FFD"/>
    <w:rsid w:val="00B96F4D"/>
    <w:rsid w:val="00BA0E6C"/>
    <w:rsid w:val="00C008E8"/>
    <w:rsid w:val="00C36210"/>
    <w:rsid w:val="00C704D4"/>
    <w:rsid w:val="00C83C93"/>
    <w:rsid w:val="00C908C7"/>
    <w:rsid w:val="00C9418B"/>
    <w:rsid w:val="00CA07FA"/>
    <w:rsid w:val="00D365FA"/>
    <w:rsid w:val="00D62B86"/>
    <w:rsid w:val="00D8434E"/>
    <w:rsid w:val="00D95BAE"/>
    <w:rsid w:val="00DC6F07"/>
    <w:rsid w:val="00DD5406"/>
    <w:rsid w:val="00E140BE"/>
    <w:rsid w:val="00E71E8C"/>
    <w:rsid w:val="00E90CA1"/>
    <w:rsid w:val="00EB7E53"/>
    <w:rsid w:val="00EC10C2"/>
    <w:rsid w:val="00F50B1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_пост"/>
    <w:basedOn w:val="a"/>
    <w:rsid w:val="00B31486"/>
    <w:pPr>
      <w:tabs>
        <w:tab w:val="left" w:pos="10440"/>
      </w:tabs>
      <w:ind w:left="720" w:right="4627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_пост"/>
    <w:basedOn w:val="a"/>
    <w:rsid w:val="00B31486"/>
    <w:pPr>
      <w:tabs>
        <w:tab w:val="left" w:pos="10440"/>
      </w:tabs>
      <w:ind w:left="720" w:right="4627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1284</Words>
  <Characters>9618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Mironova</cp:lastModifiedBy>
  <cp:revision>5</cp:revision>
  <cp:lastPrinted>2024-11-15T08:07:00Z</cp:lastPrinted>
  <dcterms:created xsi:type="dcterms:W3CDTF">2024-11-13T08:40:00Z</dcterms:created>
  <dcterms:modified xsi:type="dcterms:W3CDTF">2024-11-15T08:48:00Z</dcterms:modified>
</cp:coreProperties>
</file>