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45" w:rsidRPr="00F26AD3" w:rsidRDefault="00127945">
      <w:pPr>
        <w:pStyle w:val="ConsPlusTitle"/>
        <w:jc w:val="center"/>
        <w:outlineLvl w:val="0"/>
        <w:rPr>
          <w:rFonts w:ascii="Times New Roman" w:hAnsi="Times New Roman" w:cs="Times New Roman"/>
        </w:rPr>
      </w:pPr>
      <w:r w:rsidRPr="00F26AD3">
        <w:rPr>
          <w:rFonts w:ascii="Times New Roman" w:hAnsi="Times New Roman" w:cs="Times New Roman"/>
        </w:rPr>
        <w:t>АДМИНИСТРАЦИЯ ГОРОДА ПЕРЕСЛАВЛЯ-ЗАЛЕССКОГО</w:t>
      </w:r>
    </w:p>
    <w:p w:rsidR="00127945" w:rsidRPr="00F26AD3" w:rsidRDefault="00127945">
      <w:pPr>
        <w:pStyle w:val="ConsPlusTitle"/>
        <w:jc w:val="center"/>
        <w:rPr>
          <w:rFonts w:ascii="Times New Roman" w:hAnsi="Times New Roman" w:cs="Times New Roman"/>
        </w:rPr>
      </w:pP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ПОСТАНОВЛЕНИЕ</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от 26 декабря 2020 г. N ПОС.03-2356/20</w:t>
      </w:r>
    </w:p>
    <w:p w:rsidR="00127945" w:rsidRPr="00F26AD3" w:rsidRDefault="00127945">
      <w:pPr>
        <w:pStyle w:val="ConsPlusTitle"/>
        <w:jc w:val="center"/>
        <w:rPr>
          <w:rFonts w:ascii="Times New Roman" w:hAnsi="Times New Roman" w:cs="Times New Roman"/>
        </w:rPr>
      </w:pP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ОБ УСТАНОВЛЕНИИ ПОРЯДКА ОПРЕДЕЛЕНИЯ РАЗМЕРА АРЕНДНОЙ ПЛАТЫ</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ЗА ЗЕМЕЛЬНЫЕ УЧАСТКИ, НАХОДЯЩИЕСЯ В СОБСТВЕННОСТИ ГОРОДСКОГО</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ОКРУГА ГОРОД ПЕРЕСЛАВЛЬ-ЗАЛЕССКИЙ ЯРОСЛАВСКОЙ ОБЛАСТИ,</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ПРЕДОСТАВЛЕННЫЕ В АРЕНДУ БЕЗ ТОРГОВ</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 xml:space="preserve">В соответствии с </w:t>
      </w:r>
      <w:hyperlink r:id="rId4">
        <w:r w:rsidRPr="00F26AD3">
          <w:rPr>
            <w:rFonts w:ascii="Times New Roman" w:hAnsi="Times New Roman" w:cs="Times New Roman"/>
          </w:rPr>
          <w:t>подпунктом 3 пункта 3 статьи 39.7</w:t>
        </w:r>
      </w:hyperlink>
      <w:r w:rsidRPr="00F26AD3">
        <w:rPr>
          <w:rFonts w:ascii="Times New Roman" w:hAnsi="Times New Roman" w:cs="Times New Roman"/>
        </w:rPr>
        <w:t xml:space="preserve"> Земельного кодекса Российской Федерации, Федеральным </w:t>
      </w:r>
      <w:hyperlink r:id="rId5">
        <w:r w:rsidRPr="00F26AD3">
          <w:rPr>
            <w:rFonts w:ascii="Times New Roman" w:hAnsi="Times New Roman" w:cs="Times New Roman"/>
          </w:rPr>
          <w:t>законом</w:t>
        </w:r>
      </w:hyperlink>
      <w:r w:rsidRPr="00F26AD3">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6">
        <w:r w:rsidRPr="00F26AD3">
          <w:rPr>
            <w:rFonts w:ascii="Times New Roman" w:hAnsi="Times New Roman" w:cs="Times New Roman"/>
          </w:rPr>
          <w:t>постановлением</w:t>
        </w:r>
      </w:hyperlink>
      <w:r w:rsidRPr="00F26AD3">
        <w:rPr>
          <w:rFonts w:ascii="Times New Roman" w:hAnsi="Times New Roman" w:cs="Times New Roman"/>
        </w:rPr>
        <w:t xml:space="preserve"> Правительства Ярославской области от 24.12.2008 N 710-п "Об установлении Порядка определения размера арендной платы за земельные участки, находящиеся в собственности Ярославской области, и за земельные участки, государственная собственность на которые не разграничена, на территории Ярославской области, предоставленные в аренду без торгов", </w:t>
      </w:r>
      <w:hyperlink r:id="rId7">
        <w:r w:rsidRPr="00F26AD3">
          <w:rPr>
            <w:rFonts w:ascii="Times New Roman" w:hAnsi="Times New Roman" w:cs="Times New Roman"/>
          </w:rPr>
          <w:t>Уставом</w:t>
        </w:r>
      </w:hyperlink>
      <w:r w:rsidRPr="00F26AD3">
        <w:rPr>
          <w:rFonts w:ascii="Times New Roman" w:hAnsi="Times New Roman" w:cs="Times New Roman"/>
        </w:rPr>
        <w:t xml:space="preserve"> городского округа город Переславль-Залесский Ярославской области, </w:t>
      </w:r>
      <w:hyperlink r:id="rId8">
        <w:r w:rsidRPr="00F26AD3">
          <w:rPr>
            <w:rFonts w:ascii="Times New Roman" w:hAnsi="Times New Roman" w:cs="Times New Roman"/>
          </w:rPr>
          <w:t>решением</w:t>
        </w:r>
      </w:hyperlink>
      <w:r w:rsidRPr="00F26AD3">
        <w:rPr>
          <w:rFonts w:ascii="Times New Roman" w:hAnsi="Times New Roman" w:cs="Times New Roman"/>
        </w:rPr>
        <w:t xml:space="preserve"> Переславль-Залесской городской Думы от 24.12.2020 N 121 "О внесении изменений в решение Переславль-Залесской городской Думы от 24.11.2011 N 139 "Об утверждении Положения о порядке управления и распоряжения имуществом, находящимся в муниципальной собственности города Переславля-Залесского"</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Администрация города Переславля-Залесского постановляет:</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 xml:space="preserve">1. Утвердить прилагаемый </w:t>
      </w:r>
      <w:hyperlink w:anchor="P38">
        <w:r w:rsidRPr="00F26AD3">
          <w:rPr>
            <w:rFonts w:ascii="Times New Roman" w:hAnsi="Times New Roman" w:cs="Times New Roman"/>
          </w:rPr>
          <w:t>Порядок</w:t>
        </w:r>
      </w:hyperlink>
      <w:r w:rsidRPr="00F26AD3">
        <w:rPr>
          <w:rFonts w:ascii="Times New Roman" w:hAnsi="Times New Roman" w:cs="Times New Roman"/>
        </w:rPr>
        <w:t xml:space="preserve"> определения размера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торгов.</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2. Опубликовать настоящее постановление в газете "</w:t>
      </w:r>
      <w:proofErr w:type="spellStart"/>
      <w:r w:rsidRPr="00F26AD3">
        <w:rPr>
          <w:rFonts w:ascii="Times New Roman" w:hAnsi="Times New Roman" w:cs="Times New Roman"/>
        </w:rPr>
        <w:t>Переславская</w:t>
      </w:r>
      <w:proofErr w:type="spellEnd"/>
      <w:r w:rsidRPr="00F26AD3">
        <w:rPr>
          <w:rFonts w:ascii="Times New Roman" w:hAnsi="Times New Roman" w:cs="Times New Roman"/>
        </w:rPr>
        <w:t xml:space="preserve"> неделя" и разместить на официальном сайте органов местного самоуправления города Переславля-Залесского.</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3. Настоящее постановление вступает в силу после официального опубликования.</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 xml:space="preserve">4. Контроль за исполнением настоящего постановления возложить на заместителя Главы Администрации города Переславля-Залесского </w:t>
      </w:r>
      <w:proofErr w:type="spellStart"/>
      <w:r w:rsidRPr="00F26AD3">
        <w:rPr>
          <w:rFonts w:ascii="Times New Roman" w:hAnsi="Times New Roman" w:cs="Times New Roman"/>
        </w:rPr>
        <w:t>Шеффеля</w:t>
      </w:r>
      <w:proofErr w:type="spellEnd"/>
      <w:r w:rsidRPr="00F26AD3">
        <w:rPr>
          <w:rFonts w:ascii="Times New Roman" w:hAnsi="Times New Roman" w:cs="Times New Roman"/>
        </w:rPr>
        <w:t xml:space="preserve"> И.Г.</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Первый заместитель Главы</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Администрации города</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Переславля-Залесского</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М.М.ВАСИЛЬКОВ</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Default="00127945">
      <w:pPr>
        <w:pStyle w:val="ConsPlusNormal"/>
        <w:jc w:val="both"/>
        <w:rPr>
          <w:rFonts w:ascii="Times New Roman" w:hAnsi="Times New Roman" w:cs="Times New Roman"/>
        </w:rPr>
      </w:pPr>
    </w:p>
    <w:p w:rsidR="00473901" w:rsidRDefault="00473901">
      <w:pPr>
        <w:pStyle w:val="ConsPlusNormal"/>
        <w:jc w:val="both"/>
        <w:rPr>
          <w:rFonts w:ascii="Times New Roman" w:hAnsi="Times New Roman" w:cs="Times New Roman"/>
        </w:rPr>
      </w:pPr>
    </w:p>
    <w:p w:rsidR="00473901" w:rsidRPr="00F26AD3" w:rsidRDefault="00473901">
      <w:pPr>
        <w:pStyle w:val="ConsPlusNormal"/>
        <w:jc w:val="both"/>
        <w:rPr>
          <w:rFonts w:ascii="Times New Roman" w:hAnsi="Times New Roman" w:cs="Times New Roman"/>
        </w:rPr>
      </w:pPr>
      <w:bookmarkStart w:id="0" w:name="_GoBack"/>
      <w:bookmarkEnd w:id="0"/>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right"/>
        <w:outlineLvl w:val="0"/>
        <w:rPr>
          <w:rFonts w:ascii="Times New Roman" w:hAnsi="Times New Roman" w:cs="Times New Roman"/>
        </w:rPr>
      </w:pPr>
      <w:r w:rsidRPr="00F26AD3">
        <w:rPr>
          <w:rFonts w:ascii="Times New Roman" w:hAnsi="Times New Roman" w:cs="Times New Roman"/>
        </w:rPr>
        <w:lastRenderedPageBreak/>
        <w:t>Приложение</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к постановлению</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Администрации города</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Переславля-Залесского</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от 26.12.2020 N ПОС.03-2356/20</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Title"/>
        <w:jc w:val="center"/>
        <w:rPr>
          <w:rFonts w:ascii="Times New Roman" w:hAnsi="Times New Roman" w:cs="Times New Roman"/>
        </w:rPr>
      </w:pPr>
      <w:bookmarkStart w:id="1" w:name="P38"/>
      <w:bookmarkEnd w:id="1"/>
      <w:r w:rsidRPr="00F26AD3">
        <w:rPr>
          <w:rFonts w:ascii="Times New Roman" w:hAnsi="Times New Roman" w:cs="Times New Roman"/>
        </w:rPr>
        <w:t>ПОРЯДОК</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ОПРЕДЕЛЕНИЯ РАЗМЕРА АРЕНДНОЙ ПЛАТЫ ЗА ЗЕМЕЛЬНЫЕ УЧАСТКИ,</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НАХОДЯЩИЕСЯ В СОБСТВЕННОСТИ ГОРОДСКОГО ОКРУГА ГОРОД</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ПЕРЕСЛАВЛЬ-ЗАЛЕССКИЙ ЯРОСЛАВСКОЙ ОБЛАСТИ, ПРЕДОСТАВЛЕННЫЕ</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В АРЕНДУ БЕЗ ТОРГОВ</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Title"/>
        <w:jc w:val="center"/>
        <w:outlineLvl w:val="1"/>
        <w:rPr>
          <w:rFonts w:ascii="Times New Roman" w:hAnsi="Times New Roman" w:cs="Times New Roman"/>
        </w:rPr>
      </w:pPr>
      <w:r w:rsidRPr="00F26AD3">
        <w:rPr>
          <w:rFonts w:ascii="Times New Roman" w:hAnsi="Times New Roman" w:cs="Times New Roman"/>
        </w:rPr>
        <w:t>1. Основные положения</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 xml:space="preserve">1.1. Порядок определения размера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торгов (далее - Порядок), принят в соответствии с </w:t>
      </w:r>
      <w:hyperlink r:id="rId9">
        <w:r w:rsidRPr="00F26AD3">
          <w:rPr>
            <w:rFonts w:ascii="Times New Roman" w:hAnsi="Times New Roman" w:cs="Times New Roman"/>
          </w:rPr>
          <w:t>подпунктом 3 пункта 3 статьи 39.7</w:t>
        </w:r>
      </w:hyperlink>
      <w:r w:rsidRPr="00F26AD3">
        <w:rPr>
          <w:rFonts w:ascii="Times New Roman" w:hAnsi="Times New Roman" w:cs="Times New Roman"/>
        </w:rPr>
        <w:t xml:space="preserve"> Земельного кодекса Российской Федерации и применяется для определения размера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проведения торгов.</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Title"/>
        <w:jc w:val="center"/>
        <w:outlineLvl w:val="1"/>
        <w:rPr>
          <w:rFonts w:ascii="Times New Roman" w:hAnsi="Times New Roman" w:cs="Times New Roman"/>
        </w:rPr>
      </w:pPr>
      <w:bookmarkStart w:id="2" w:name="P48"/>
      <w:bookmarkEnd w:id="2"/>
      <w:r w:rsidRPr="00F26AD3">
        <w:rPr>
          <w:rFonts w:ascii="Times New Roman" w:hAnsi="Times New Roman" w:cs="Times New Roman"/>
        </w:rPr>
        <w:t>2. Порядок определения размера арендной платы</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за земельные участки</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2.1. За основу при установлении порядка определения размера арендной платы за земельные участки принимается кадастровая стоимость соответствующего земельного участка, за исключением случая, установленного пунктом 2.2 данного раздела Порядка.</w:t>
      </w:r>
    </w:p>
    <w:p w:rsidR="00127945" w:rsidRPr="00F26AD3" w:rsidRDefault="00127945">
      <w:pPr>
        <w:pStyle w:val="ConsPlusNormal"/>
        <w:spacing w:before="220"/>
        <w:ind w:firstLine="540"/>
        <w:jc w:val="both"/>
        <w:rPr>
          <w:rFonts w:ascii="Times New Roman" w:hAnsi="Times New Roman" w:cs="Times New Roman"/>
        </w:rPr>
      </w:pPr>
      <w:bookmarkStart w:id="3" w:name="P52"/>
      <w:bookmarkEnd w:id="3"/>
      <w:r w:rsidRPr="00F26AD3">
        <w:rPr>
          <w:rFonts w:ascii="Times New Roman" w:hAnsi="Times New Roman" w:cs="Times New Roman"/>
        </w:rPr>
        <w:t>2.2. При отсутствии в Едином государственном реестре недвижимости сведений о кадастровой стоимости земельного участка до даты их внесения в Единый государственный реестр недвижимости размер годовой арендной платы за земельный участок определяется в размере рыночной стоимости права аренды земельного участка, определяемой в соответствии с законодательством Российской Федерации об оценочной деятельности.</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С даты внесения сведений о кадастровой стоимости земельного участка, указанного в абзаце первом данного пункта, в Единый государственный реестр недвижимости, но не ранее чем через год после заключения договора аренды земельного участка расчет размера годовой арендной платы за земельный участок производится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w:t>
      </w:r>
    </w:p>
    <w:p w:rsidR="00127945" w:rsidRPr="00F26AD3" w:rsidRDefault="00127945">
      <w:pPr>
        <w:pStyle w:val="ConsPlusNormal"/>
        <w:spacing w:before="220"/>
        <w:ind w:firstLine="540"/>
        <w:jc w:val="both"/>
        <w:rPr>
          <w:rFonts w:ascii="Times New Roman" w:hAnsi="Times New Roman" w:cs="Times New Roman"/>
        </w:rPr>
      </w:pPr>
      <w:bookmarkStart w:id="4" w:name="P54"/>
      <w:bookmarkEnd w:id="4"/>
      <w:r w:rsidRPr="00F26AD3">
        <w:rPr>
          <w:rFonts w:ascii="Times New Roman" w:hAnsi="Times New Roman" w:cs="Times New Roman"/>
        </w:rPr>
        <w:t>2.3. Размер годовой арендной платы за земельный участок, предоставленный лицу,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определяется в размере земельного налога, рассчитанного в отношении такого земельного участка.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2.4. Размер годовой арендной платы за земельный участок, предоставленный в соответствии с </w:t>
      </w:r>
      <w:hyperlink r:id="rId10">
        <w:r w:rsidRPr="00F26AD3">
          <w:rPr>
            <w:rFonts w:ascii="Times New Roman" w:hAnsi="Times New Roman" w:cs="Times New Roman"/>
          </w:rPr>
          <w:t>подпунктом 3 пункта 2 статьи 39.6</w:t>
        </w:r>
      </w:hyperlink>
      <w:r w:rsidRPr="00F26AD3">
        <w:rPr>
          <w:rFonts w:ascii="Times New Roman" w:hAnsi="Times New Roman" w:cs="Times New Roman"/>
        </w:rPr>
        <w:t xml:space="preserve"> Земельного кодекса Российской Федерации, определяется в размере 0,069 процента кадастровой стоимости данного земельного участка с первого по четвертый год использования земельного участка.</w:t>
      </w:r>
    </w:p>
    <w:p w:rsidR="00127945" w:rsidRPr="00F26AD3" w:rsidRDefault="00127945">
      <w:pPr>
        <w:pStyle w:val="ConsPlusNormal"/>
        <w:spacing w:before="220"/>
        <w:ind w:firstLine="540"/>
        <w:jc w:val="both"/>
        <w:rPr>
          <w:rFonts w:ascii="Times New Roman" w:hAnsi="Times New Roman" w:cs="Times New Roman"/>
        </w:rPr>
      </w:pPr>
      <w:bookmarkStart w:id="5" w:name="P56"/>
      <w:bookmarkEnd w:id="5"/>
      <w:r w:rsidRPr="00F26AD3">
        <w:rPr>
          <w:rFonts w:ascii="Times New Roman" w:hAnsi="Times New Roman" w:cs="Times New Roman"/>
        </w:rPr>
        <w:t>В последующие периоды использования земельного участка размер годовой арендной платы устанавливается в следующем порядке:</w:t>
      </w:r>
    </w:p>
    <w:p w:rsidR="00127945" w:rsidRPr="00F26AD3" w:rsidRDefault="00127945">
      <w:pPr>
        <w:pStyle w:val="ConsPlusNormal"/>
        <w:spacing w:before="220"/>
        <w:ind w:firstLine="540"/>
        <w:jc w:val="both"/>
        <w:rPr>
          <w:rFonts w:ascii="Times New Roman" w:hAnsi="Times New Roman" w:cs="Times New Roman"/>
        </w:rPr>
      </w:pPr>
      <w:bookmarkStart w:id="6" w:name="P57"/>
      <w:bookmarkEnd w:id="6"/>
      <w:r w:rsidRPr="00F26AD3">
        <w:rPr>
          <w:rFonts w:ascii="Times New Roman" w:hAnsi="Times New Roman" w:cs="Times New Roman"/>
        </w:rPr>
        <w:t>- с пятого по седьмой год использования земельного участка - в размере 1/2 ставки земельного налога, установленной законодательством Российской Федерации;</w:t>
      </w:r>
    </w:p>
    <w:p w:rsidR="00127945" w:rsidRPr="00F26AD3" w:rsidRDefault="00127945">
      <w:pPr>
        <w:pStyle w:val="ConsPlusNormal"/>
        <w:spacing w:before="220"/>
        <w:ind w:firstLine="540"/>
        <w:jc w:val="both"/>
        <w:rPr>
          <w:rFonts w:ascii="Times New Roman" w:hAnsi="Times New Roman" w:cs="Times New Roman"/>
        </w:rPr>
      </w:pPr>
      <w:bookmarkStart w:id="7" w:name="P58"/>
      <w:bookmarkEnd w:id="7"/>
      <w:r w:rsidRPr="00F26AD3">
        <w:rPr>
          <w:rFonts w:ascii="Times New Roman" w:hAnsi="Times New Roman" w:cs="Times New Roman"/>
        </w:rPr>
        <w:t xml:space="preserve">- с восьмого года и в последующие годы использования земельного участка (в пределах срока действия договора аренды земельного участка) - в размере ставки земельного налога, установленной </w:t>
      </w:r>
      <w:r w:rsidRPr="00F26AD3">
        <w:rPr>
          <w:rFonts w:ascii="Times New Roman" w:hAnsi="Times New Roman" w:cs="Times New Roman"/>
        </w:rPr>
        <w:lastRenderedPageBreak/>
        <w:t>законодательством Российской Федерации.</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Положения </w:t>
      </w:r>
      <w:hyperlink w:anchor="P56">
        <w:r w:rsidRPr="00F26AD3">
          <w:rPr>
            <w:rFonts w:ascii="Times New Roman" w:hAnsi="Times New Roman" w:cs="Times New Roman"/>
          </w:rPr>
          <w:t>абзацев второго</w:t>
        </w:r>
      </w:hyperlink>
      <w:r w:rsidRPr="00F26AD3">
        <w:rPr>
          <w:rFonts w:ascii="Times New Roman" w:hAnsi="Times New Roman" w:cs="Times New Roman"/>
        </w:rPr>
        <w:t xml:space="preserve"> - </w:t>
      </w:r>
      <w:hyperlink w:anchor="P58">
        <w:r w:rsidRPr="00F26AD3">
          <w:rPr>
            <w:rFonts w:ascii="Times New Roman" w:hAnsi="Times New Roman" w:cs="Times New Roman"/>
          </w:rPr>
          <w:t>четвертого</w:t>
        </w:r>
      </w:hyperlink>
      <w:r w:rsidRPr="00F26AD3">
        <w:rPr>
          <w:rFonts w:ascii="Times New Roman" w:hAnsi="Times New Roman" w:cs="Times New Roman"/>
        </w:rPr>
        <w:t xml:space="preserve"> данного пункта не распространяются на случаи определения размера годовой арендной платы за земельные участки, предоставленные в соответствии с </w:t>
      </w:r>
      <w:hyperlink r:id="rId11">
        <w:r w:rsidRPr="00F26AD3">
          <w:rPr>
            <w:rFonts w:ascii="Times New Roman" w:hAnsi="Times New Roman" w:cs="Times New Roman"/>
          </w:rPr>
          <w:t>подпунктом 3 пункта 2 статьи 39.6</w:t>
        </w:r>
      </w:hyperlink>
      <w:r w:rsidRPr="00F26AD3">
        <w:rPr>
          <w:rFonts w:ascii="Times New Roman" w:hAnsi="Times New Roman" w:cs="Times New Roman"/>
        </w:rPr>
        <w:t xml:space="preserve"> Земельного кодекса Российской Федерации для реализации масштабных инвестиционных проектов по созданию и (или) развитию промышленных (индустриальных) парков на территории городского округа город Переславль-Залесский Ярославской области, размер годовой арендной платы для которых составляет 0,066 процента кадастровой стоимости земельного участка на весь срок аренды земельного участка.</w:t>
      </w:r>
    </w:p>
    <w:p w:rsidR="00127945" w:rsidRPr="00F26AD3" w:rsidRDefault="00127945">
      <w:pPr>
        <w:pStyle w:val="ConsPlusNormal"/>
        <w:spacing w:before="220"/>
        <w:ind w:firstLine="540"/>
        <w:jc w:val="both"/>
        <w:rPr>
          <w:rFonts w:ascii="Times New Roman" w:hAnsi="Times New Roman" w:cs="Times New Roman"/>
        </w:rPr>
      </w:pPr>
      <w:bookmarkStart w:id="8" w:name="P60"/>
      <w:bookmarkEnd w:id="8"/>
      <w:r w:rsidRPr="00F26AD3">
        <w:rPr>
          <w:rFonts w:ascii="Times New Roman" w:hAnsi="Times New Roman" w:cs="Times New Roman"/>
        </w:rPr>
        <w:t xml:space="preserve">2.5. Размер годовой арендной платы за земельные участки категории земель сельскохозяйственного назначения производится в соответствии с пунктом 2.15 данного раздела Порядка. В случае если размер годовой арендной платы за земельный участок, рассчитанный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 менее размера земельного налога, рассчитанного в отношении такого земельного участка, то размер годовой арендной платы определяется в размере земельного налога.</w:t>
      </w:r>
    </w:p>
    <w:p w:rsidR="00127945" w:rsidRPr="00F26AD3" w:rsidRDefault="00127945">
      <w:pPr>
        <w:pStyle w:val="ConsPlusNormal"/>
        <w:spacing w:before="220"/>
        <w:ind w:firstLine="540"/>
        <w:jc w:val="both"/>
        <w:rPr>
          <w:rFonts w:ascii="Times New Roman" w:hAnsi="Times New Roman" w:cs="Times New Roman"/>
        </w:rPr>
      </w:pPr>
      <w:bookmarkStart w:id="9" w:name="P61"/>
      <w:bookmarkEnd w:id="9"/>
      <w:r w:rsidRPr="00F26AD3">
        <w:rPr>
          <w:rFonts w:ascii="Times New Roman" w:hAnsi="Times New Roman" w:cs="Times New Roman"/>
        </w:rPr>
        <w:t xml:space="preserve">2.6. В случае заключения договора аренды земельного участка с лицами, указанными в </w:t>
      </w:r>
      <w:hyperlink r:id="rId12">
        <w:r w:rsidRPr="00F26AD3">
          <w:rPr>
            <w:rFonts w:ascii="Times New Roman" w:hAnsi="Times New Roman" w:cs="Times New Roman"/>
          </w:rPr>
          <w:t>подпунктах 1</w:t>
        </w:r>
      </w:hyperlink>
      <w:r w:rsidRPr="00F26AD3">
        <w:rPr>
          <w:rFonts w:ascii="Times New Roman" w:hAnsi="Times New Roman" w:cs="Times New Roman"/>
        </w:rPr>
        <w:t xml:space="preserve">, </w:t>
      </w:r>
      <w:hyperlink r:id="rId13">
        <w:r w:rsidRPr="00F26AD3">
          <w:rPr>
            <w:rFonts w:ascii="Times New Roman" w:hAnsi="Times New Roman" w:cs="Times New Roman"/>
          </w:rPr>
          <w:t>2.1</w:t>
        </w:r>
      </w:hyperlink>
      <w:r w:rsidRPr="00F26AD3">
        <w:rPr>
          <w:rFonts w:ascii="Times New Roman" w:hAnsi="Times New Roman" w:cs="Times New Roman"/>
        </w:rPr>
        <w:t xml:space="preserve">, </w:t>
      </w:r>
      <w:hyperlink r:id="rId14">
        <w:r w:rsidRPr="00F26AD3">
          <w:rPr>
            <w:rFonts w:ascii="Times New Roman" w:hAnsi="Times New Roman" w:cs="Times New Roman"/>
          </w:rPr>
          <w:t>3</w:t>
        </w:r>
      </w:hyperlink>
      <w:r w:rsidRPr="00F26AD3">
        <w:rPr>
          <w:rFonts w:ascii="Times New Roman" w:hAnsi="Times New Roman" w:cs="Times New Roman"/>
        </w:rPr>
        <w:t xml:space="preserve"> - </w:t>
      </w:r>
      <w:hyperlink r:id="rId15">
        <w:r w:rsidRPr="00F26AD3">
          <w:rPr>
            <w:rFonts w:ascii="Times New Roman" w:hAnsi="Times New Roman" w:cs="Times New Roman"/>
          </w:rPr>
          <w:t>6 пункта 5 статьи 39.7</w:t>
        </w:r>
      </w:hyperlink>
      <w:r w:rsidRPr="00F26AD3">
        <w:rPr>
          <w:rFonts w:ascii="Times New Roman" w:hAnsi="Times New Roman" w:cs="Times New Roman"/>
        </w:rPr>
        <w:t xml:space="preserve"> Земельного кодекса Российской Федерации, размер годовой арендной платы за земельный участок определяется в размере земельного налога, рассчитанного в отношении такого земельного участка, при условии, что размер годовой арендной платы, рассчитанный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 превышает размер земельного налога.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В случае если размер годовой арендной платы за земельный участок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w:t>
      </w:r>
    </w:p>
    <w:p w:rsidR="00127945" w:rsidRPr="00F26AD3" w:rsidRDefault="00127945">
      <w:pPr>
        <w:pStyle w:val="ConsPlusNormal"/>
        <w:spacing w:before="220"/>
        <w:ind w:firstLine="540"/>
        <w:jc w:val="both"/>
        <w:rPr>
          <w:rFonts w:ascii="Times New Roman" w:hAnsi="Times New Roman" w:cs="Times New Roman"/>
        </w:rPr>
      </w:pPr>
      <w:bookmarkStart w:id="10" w:name="P63"/>
      <w:bookmarkEnd w:id="10"/>
      <w:r w:rsidRPr="00F26AD3">
        <w:rPr>
          <w:rFonts w:ascii="Times New Roman" w:hAnsi="Times New Roman" w:cs="Times New Roman"/>
        </w:rPr>
        <w:t xml:space="preserve">2.7. В случае наличия предусмотренных законодательством Российской Федерации ограничений права на приобретение в собственность занимаемого зданием, сооружением земельного участка собственником этого здания, сооружения размер годовой арендной платы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отсутствуют, при условии, что размер годовой арендной платы, рассчитанный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 в данном случае превышает размер земельного налога.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В случае если размер годовой арендной платы за земельный участок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w:t>
      </w:r>
    </w:p>
    <w:p w:rsidR="00127945" w:rsidRPr="00F26AD3" w:rsidRDefault="00127945">
      <w:pPr>
        <w:pStyle w:val="ConsPlusNormal"/>
        <w:spacing w:before="220"/>
        <w:ind w:firstLine="540"/>
        <w:jc w:val="both"/>
        <w:rPr>
          <w:rFonts w:ascii="Times New Roman" w:hAnsi="Times New Roman" w:cs="Times New Roman"/>
        </w:rPr>
      </w:pPr>
      <w:bookmarkStart w:id="11" w:name="P65"/>
      <w:bookmarkEnd w:id="11"/>
      <w:r w:rsidRPr="00F26AD3">
        <w:rPr>
          <w:rFonts w:ascii="Times New Roman" w:hAnsi="Times New Roman" w:cs="Times New Roman"/>
        </w:rPr>
        <w:t xml:space="preserve">2.8. В случае если земельный участок является зарезервированным для государственных или муниципальных нужд либо ограниченным в обороте и образован из земельного участка, предоставленного до дня вступления в силу Федерального </w:t>
      </w:r>
      <w:hyperlink r:id="rId16">
        <w:r w:rsidRPr="00F26AD3">
          <w:rPr>
            <w:rFonts w:ascii="Times New Roman" w:hAnsi="Times New Roman" w:cs="Times New Roman"/>
          </w:rPr>
          <w:t>закона</w:t>
        </w:r>
      </w:hyperlink>
      <w:r w:rsidRPr="00F26AD3">
        <w:rPr>
          <w:rFonts w:ascii="Times New Roman" w:hAnsi="Times New Roman" w:cs="Times New Roman"/>
        </w:rPr>
        <w:t xml:space="preserve"> от 25 октября 2001 года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в том числе в случае если такой земельный участок относится к имуществу общего пользования, размер годовой арендной платы за земельный участок определяется в размере земельного налога, рассчитанного в отношении такого земельного участка, при условии, что размер годовой арендной платы за земельный участок, рассчитанный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 превышает размер земельного налога.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В случае если размер годовой арендной платы за земельный участок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lastRenderedPageBreak/>
        <w:t>2.9. Размер годовой арендной платы за земельные участки, на которых расположены объекты незавершенного жилищного строительства, определяется в размере 0,3 процента кадастровой стоимости земельного участка при наличии в совокупности следующих условий:</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 арендатором земельного участка является созданный участниками строительства жилищно-строительный кооператив или иной специализированный потребительский кооператив, которому объект незавершенного жилищного строительства передан в соответствии с Федеральным </w:t>
      </w:r>
      <w:hyperlink r:id="rId17">
        <w:r w:rsidRPr="00F26AD3">
          <w:rPr>
            <w:rFonts w:ascii="Times New Roman" w:hAnsi="Times New Roman" w:cs="Times New Roman"/>
          </w:rPr>
          <w:t>законом</w:t>
        </w:r>
      </w:hyperlink>
      <w:r w:rsidRPr="00F26AD3">
        <w:rPr>
          <w:rFonts w:ascii="Times New Roman" w:hAnsi="Times New Roman" w:cs="Times New Roman"/>
        </w:rPr>
        <w:t xml:space="preserve"> от 26 октября 2002 года N 127-ФЗ "О несостоятельности (банкротстве)" и членами которого являются граждане, чьи денежные средства привлечены для строительства многоквартирного дома и чьи права нарушены, включенные в реестр пострадавших граждан в соответствии с Федеральным </w:t>
      </w:r>
      <w:hyperlink r:id="rId18">
        <w:r w:rsidRPr="00F26AD3">
          <w:rPr>
            <w:rFonts w:ascii="Times New Roman" w:hAnsi="Times New Roman" w:cs="Times New Roman"/>
          </w:rPr>
          <w:t>законом</w:t>
        </w:r>
      </w:hyperlink>
      <w:r w:rsidRPr="00F26AD3">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 объект незавершенного жилищного строительства, расположенный на арендуемом земельном участке, включен в единый реестр проблемных объектов в соответствии с Федеральным </w:t>
      </w:r>
      <w:hyperlink r:id="rId19">
        <w:r w:rsidRPr="00F26AD3">
          <w:rPr>
            <w:rFonts w:ascii="Times New Roman" w:hAnsi="Times New Roman" w:cs="Times New Roman"/>
          </w:rPr>
          <w:t>законом</w:t>
        </w:r>
      </w:hyperlink>
      <w:r w:rsidRPr="00F26AD3">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27945" w:rsidRPr="00F26AD3" w:rsidRDefault="00127945">
      <w:pPr>
        <w:pStyle w:val="ConsPlusNormal"/>
        <w:spacing w:before="220"/>
        <w:ind w:firstLine="540"/>
        <w:jc w:val="both"/>
        <w:rPr>
          <w:rFonts w:ascii="Times New Roman" w:hAnsi="Times New Roman" w:cs="Times New Roman"/>
        </w:rPr>
      </w:pPr>
      <w:bookmarkStart w:id="12" w:name="P70"/>
      <w:bookmarkEnd w:id="12"/>
      <w:r w:rsidRPr="00F26AD3">
        <w:rPr>
          <w:rFonts w:ascii="Times New Roman" w:hAnsi="Times New Roman" w:cs="Times New Roman"/>
        </w:rPr>
        <w:t>2.10. Размер годовой арендной платы за земельные участки под объектами, строительство которых ведется за счет бюджетных средств, и объектами строительства, безвозмездно передаваемыми в государственную или муниципальную собственность, определяется в размере земельного налога, рассчитанного в отношении таких земельных участков.</w:t>
      </w:r>
    </w:p>
    <w:p w:rsidR="00127945" w:rsidRPr="00F26AD3" w:rsidRDefault="00127945">
      <w:pPr>
        <w:pStyle w:val="ConsPlusNormal"/>
        <w:spacing w:before="220"/>
        <w:ind w:firstLine="540"/>
        <w:jc w:val="both"/>
        <w:rPr>
          <w:rFonts w:ascii="Times New Roman" w:hAnsi="Times New Roman" w:cs="Times New Roman"/>
        </w:rPr>
      </w:pPr>
      <w:bookmarkStart w:id="13" w:name="P71"/>
      <w:bookmarkEnd w:id="13"/>
      <w:r w:rsidRPr="00F26AD3">
        <w:rPr>
          <w:rFonts w:ascii="Times New Roman" w:hAnsi="Times New Roman" w:cs="Times New Roman"/>
        </w:rPr>
        <w:t xml:space="preserve">2.11. Размер годовой арендной платы за земельные участки, предоставленные для размещения объектов, предусмотренных </w:t>
      </w:r>
      <w:hyperlink r:id="rId20">
        <w:r w:rsidRPr="00F26AD3">
          <w:rPr>
            <w:rFonts w:ascii="Times New Roman" w:hAnsi="Times New Roman" w:cs="Times New Roman"/>
          </w:rPr>
          <w:t>подпунктом 2 статьи 49</w:t>
        </w:r>
      </w:hyperlink>
      <w:r w:rsidRPr="00F26AD3">
        <w:rPr>
          <w:rFonts w:ascii="Times New Roman" w:hAnsi="Times New Roman" w:cs="Times New Roman"/>
        </w:rPr>
        <w:t xml:space="preserve"> Земельного кодекса Российской Федерации, а также для проведения работ, связанных с пользованием недрами, определяется в размере годовой арендной платы, рассчитанной для соответствующих целей в отношении земельных участков, находящихся в федеральной собственности, при условии, что размер годовой арендной платы, рассчитанный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 в данном случае превышает размер годовой арендной платы, рассчитанный для соответствующих целей в отношении земельных участков, находящихся в федеральной собственности.</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В случае если размер годовой арендной платы, рассчитанный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 не превышает размер годовой арендной платы, рассчитанный для соответствующих целей в отношении земельных участков, находящихся в федеральной собственности, размер годовой арендной платы определяется в соответствии с </w:t>
      </w:r>
      <w:hyperlink w:anchor="P79">
        <w:r w:rsidRPr="00F26AD3">
          <w:rPr>
            <w:rFonts w:ascii="Times New Roman" w:hAnsi="Times New Roman" w:cs="Times New Roman"/>
          </w:rPr>
          <w:t>пунктом 2.15</w:t>
        </w:r>
      </w:hyperlink>
      <w:r w:rsidRPr="00F26AD3">
        <w:rPr>
          <w:rFonts w:ascii="Times New Roman" w:hAnsi="Times New Roman" w:cs="Times New Roman"/>
        </w:rPr>
        <w:t xml:space="preserve"> данного раздела Порядка.</w:t>
      </w:r>
    </w:p>
    <w:p w:rsidR="00127945" w:rsidRPr="00F26AD3" w:rsidRDefault="00127945">
      <w:pPr>
        <w:pStyle w:val="ConsPlusNormal"/>
        <w:spacing w:before="220"/>
        <w:ind w:firstLine="540"/>
        <w:jc w:val="both"/>
        <w:rPr>
          <w:rFonts w:ascii="Times New Roman" w:hAnsi="Times New Roman" w:cs="Times New Roman"/>
        </w:rPr>
      </w:pPr>
      <w:bookmarkStart w:id="14" w:name="P73"/>
      <w:bookmarkEnd w:id="14"/>
      <w:r w:rsidRPr="00F26AD3">
        <w:rPr>
          <w:rFonts w:ascii="Times New Roman" w:hAnsi="Times New Roman" w:cs="Times New Roman"/>
        </w:rPr>
        <w:t xml:space="preserve">2.12. Годовая арендная плата при переоформления юридическими лицами права постоянного (бессрочного) пользования земельными участками на право аренды земельных участков в соответствии с </w:t>
      </w:r>
      <w:hyperlink r:id="rId21">
        <w:r w:rsidRPr="00F26AD3">
          <w:rPr>
            <w:rFonts w:ascii="Times New Roman" w:hAnsi="Times New Roman" w:cs="Times New Roman"/>
          </w:rPr>
          <w:t>пунктом 2 статьи 3</w:t>
        </w:r>
      </w:hyperlink>
      <w:r w:rsidRPr="00F26AD3">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устанавливается в размере:</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- 2 процентов кадастровой стоимости арендуемых земельных участков;</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- 0,3 процента кадастровой стоимости арендуемых земельных участков из земель сельскохозяйственного назначения;</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- 1,5 процента кадастровой стоимости арендуемых земельных участков, изъятых из оборота или ограниченных в обороте.</w:t>
      </w:r>
    </w:p>
    <w:p w:rsidR="00127945" w:rsidRPr="00F26AD3" w:rsidRDefault="00127945">
      <w:pPr>
        <w:pStyle w:val="ConsPlusNormal"/>
        <w:spacing w:before="220"/>
        <w:ind w:firstLine="540"/>
        <w:jc w:val="both"/>
        <w:rPr>
          <w:rFonts w:ascii="Times New Roman" w:hAnsi="Times New Roman" w:cs="Times New Roman"/>
        </w:rPr>
      </w:pPr>
      <w:bookmarkStart w:id="15" w:name="P77"/>
      <w:bookmarkEnd w:id="15"/>
      <w:r w:rsidRPr="00F26AD3">
        <w:rPr>
          <w:rFonts w:ascii="Times New Roman" w:hAnsi="Times New Roman" w:cs="Times New Roman"/>
        </w:rPr>
        <w:t xml:space="preserve">2.13. Социально ориентированным некоммерческим организациям, осуществляющим виды деятельности, предусмотренные </w:t>
      </w:r>
      <w:hyperlink r:id="rId22">
        <w:r w:rsidRPr="00F26AD3">
          <w:rPr>
            <w:rFonts w:ascii="Times New Roman" w:hAnsi="Times New Roman" w:cs="Times New Roman"/>
          </w:rPr>
          <w:t>статьей 31.1</w:t>
        </w:r>
      </w:hyperlink>
      <w:r w:rsidRPr="00F26AD3">
        <w:rPr>
          <w:rFonts w:ascii="Times New Roman" w:hAnsi="Times New Roman" w:cs="Times New Roman"/>
        </w:rPr>
        <w:t xml:space="preserve"> Федерального закона от 12 января 1996 года N 7-ФЗ "О некоммерческих организациях", размер годовой арендной платы за использование земельных участков определяется в размере земельного налога, рассчитанного в отношении таких земельных участков.</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lastRenderedPageBreak/>
        <w:t>2.14. Размер годовой арендной платы за земельные участки, предоставленные для размещения и эксплуатации аэропортов, определяется в размере 0,083 процента кадастровой стоимости таких земельных участков.</w:t>
      </w:r>
    </w:p>
    <w:p w:rsidR="00127945" w:rsidRPr="00F26AD3" w:rsidRDefault="00127945">
      <w:pPr>
        <w:pStyle w:val="ConsPlusNormal"/>
        <w:spacing w:before="220"/>
        <w:ind w:firstLine="540"/>
        <w:jc w:val="both"/>
        <w:rPr>
          <w:rFonts w:ascii="Times New Roman" w:hAnsi="Times New Roman" w:cs="Times New Roman"/>
        </w:rPr>
      </w:pPr>
      <w:bookmarkStart w:id="16" w:name="P79"/>
      <w:bookmarkEnd w:id="16"/>
      <w:r w:rsidRPr="00F26AD3">
        <w:rPr>
          <w:rFonts w:ascii="Times New Roman" w:hAnsi="Times New Roman" w:cs="Times New Roman"/>
        </w:rPr>
        <w:t xml:space="preserve">2.15. В отношении земельных участков, не указанных в </w:t>
      </w:r>
      <w:hyperlink w:anchor="P52">
        <w:r w:rsidRPr="00F26AD3">
          <w:rPr>
            <w:rFonts w:ascii="Times New Roman" w:hAnsi="Times New Roman" w:cs="Times New Roman"/>
          </w:rPr>
          <w:t>пунктах 2.2</w:t>
        </w:r>
      </w:hyperlink>
      <w:r w:rsidRPr="00F26AD3">
        <w:rPr>
          <w:rFonts w:ascii="Times New Roman" w:hAnsi="Times New Roman" w:cs="Times New Roman"/>
        </w:rPr>
        <w:t xml:space="preserve"> - 2.14 данного раздела Порядка, размер годовой арендной платы (А) рассчитывается по формуле:</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 xml:space="preserve">А = КС x </w:t>
      </w:r>
      <w:proofErr w:type="spellStart"/>
      <w:r w:rsidRPr="00F26AD3">
        <w:rPr>
          <w:rFonts w:ascii="Times New Roman" w:hAnsi="Times New Roman" w:cs="Times New Roman"/>
        </w:rPr>
        <w:t>Ст</w:t>
      </w:r>
      <w:proofErr w:type="spellEnd"/>
      <w:r w:rsidRPr="00F26AD3">
        <w:rPr>
          <w:rFonts w:ascii="Times New Roman" w:hAnsi="Times New Roman" w:cs="Times New Roman"/>
        </w:rPr>
        <w:t xml:space="preserve"> x КИ,</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где:</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КС - кадастровая стоимость земельного участка (рублей);</w:t>
      </w:r>
    </w:p>
    <w:p w:rsidR="00127945" w:rsidRPr="00F26AD3" w:rsidRDefault="00127945">
      <w:pPr>
        <w:pStyle w:val="ConsPlusNormal"/>
        <w:spacing w:before="220"/>
        <w:ind w:firstLine="540"/>
        <w:jc w:val="both"/>
        <w:rPr>
          <w:rFonts w:ascii="Times New Roman" w:hAnsi="Times New Roman" w:cs="Times New Roman"/>
        </w:rPr>
      </w:pPr>
      <w:proofErr w:type="spellStart"/>
      <w:r w:rsidRPr="00F26AD3">
        <w:rPr>
          <w:rFonts w:ascii="Times New Roman" w:hAnsi="Times New Roman" w:cs="Times New Roman"/>
        </w:rPr>
        <w:t>Ст</w:t>
      </w:r>
      <w:proofErr w:type="spellEnd"/>
      <w:r w:rsidRPr="00F26AD3">
        <w:rPr>
          <w:rFonts w:ascii="Times New Roman" w:hAnsi="Times New Roman" w:cs="Times New Roman"/>
        </w:rPr>
        <w:t xml:space="preserve"> - ставка арендной платы за земельный участок, установленная с учетом вида разрешенного использования земельного участка (процентов);</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КИ - коэффициент инфляции.</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Коэффициент инфляции (КИ) определяется как произведение (П) ежегодных уровней инфляции начиная с года, следующего за годом,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Ярославской области, и рассчитывается по формуле:</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noProof/>
          <w:position w:val="-26"/>
        </w:rPr>
        <w:drawing>
          <wp:inline distT="0" distB="0" distL="0" distR="0">
            <wp:extent cx="151955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9555" cy="471805"/>
                    </a:xfrm>
                    <a:prstGeom prst="rect">
                      <a:avLst/>
                    </a:prstGeom>
                    <a:noFill/>
                    <a:ln>
                      <a:noFill/>
                    </a:ln>
                  </pic:spPr>
                </pic:pic>
              </a:graphicData>
            </a:graphic>
          </wp:inline>
        </w:drawing>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где УИ - уровень инфляции (декабрь к декабрю), ежегодно устанавливаемый в статье 1 федерального закона о федеральном бюджете на очередной финансовый год и плановый период (процентов).</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При заключении договора аренды земельного участка в году,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Ярославской области, размер годовой арендной платы определяется без применения коэффициента инфляции.</w:t>
      </w:r>
    </w:p>
    <w:p w:rsidR="00127945" w:rsidRPr="00F26AD3" w:rsidRDefault="00127945">
      <w:pPr>
        <w:pStyle w:val="ConsPlusNormal"/>
        <w:spacing w:before="220"/>
        <w:ind w:firstLine="540"/>
        <w:jc w:val="both"/>
        <w:rPr>
          <w:rFonts w:ascii="Times New Roman" w:hAnsi="Times New Roman" w:cs="Times New Roman"/>
        </w:rPr>
      </w:pPr>
      <w:bookmarkStart w:id="17" w:name="P93"/>
      <w:bookmarkEnd w:id="17"/>
      <w:r w:rsidRPr="00F26AD3">
        <w:rPr>
          <w:rFonts w:ascii="Times New Roman" w:hAnsi="Times New Roman" w:cs="Times New Roman"/>
        </w:rPr>
        <w:t>2.16. Размер годовой арендной платы за земельные участки ежегодно изменяется в одностороннем порядке арендодателем путем индексации на размер уровня инфляции (декабрь к декабрю), ежегодно устанавливаемого в статье 1 федерального закона о федеральном бюджете на очередной финансовый год и плановый период.</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Индексация размера годовой арендной платы за земельные участки проводится по состоянию на начало очередного финансового года начиная с года, следующего за годом, в котором заключен договор аренды земельного участка. Индексация размера годовой арендной платы за земельные участки, определенного в соответствии с </w:t>
      </w:r>
      <w:hyperlink w:anchor="P54">
        <w:r w:rsidRPr="00F26AD3">
          <w:rPr>
            <w:rFonts w:ascii="Times New Roman" w:hAnsi="Times New Roman" w:cs="Times New Roman"/>
          </w:rPr>
          <w:t>пунктом 2.3</w:t>
        </w:r>
      </w:hyperlink>
      <w:r w:rsidRPr="00F26AD3">
        <w:rPr>
          <w:rFonts w:ascii="Times New Roman" w:hAnsi="Times New Roman" w:cs="Times New Roman"/>
        </w:rPr>
        <w:t xml:space="preserve">, </w:t>
      </w:r>
      <w:hyperlink w:anchor="P57">
        <w:r w:rsidRPr="00F26AD3">
          <w:rPr>
            <w:rFonts w:ascii="Times New Roman" w:hAnsi="Times New Roman" w:cs="Times New Roman"/>
          </w:rPr>
          <w:t>абзацами третьим</w:t>
        </w:r>
      </w:hyperlink>
      <w:r w:rsidRPr="00F26AD3">
        <w:rPr>
          <w:rFonts w:ascii="Times New Roman" w:hAnsi="Times New Roman" w:cs="Times New Roman"/>
        </w:rPr>
        <w:t xml:space="preserve">, </w:t>
      </w:r>
      <w:hyperlink w:anchor="P58">
        <w:r w:rsidRPr="00F26AD3">
          <w:rPr>
            <w:rFonts w:ascii="Times New Roman" w:hAnsi="Times New Roman" w:cs="Times New Roman"/>
          </w:rPr>
          <w:t>четвертым пункта 2.4</w:t>
        </w:r>
      </w:hyperlink>
      <w:r w:rsidRPr="00F26AD3">
        <w:rPr>
          <w:rFonts w:ascii="Times New Roman" w:hAnsi="Times New Roman" w:cs="Times New Roman"/>
        </w:rPr>
        <w:t xml:space="preserve">, </w:t>
      </w:r>
      <w:hyperlink w:anchor="P70">
        <w:r w:rsidRPr="00F26AD3">
          <w:rPr>
            <w:rFonts w:ascii="Times New Roman" w:hAnsi="Times New Roman" w:cs="Times New Roman"/>
          </w:rPr>
          <w:t>пунктами 2.10</w:t>
        </w:r>
      </w:hyperlink>
      <w:r w:rsidRPr="00F26AD3">
        <w:rPr>
          <w:rFonts w:ascii="Times New Roman" w:hAnsi="Times New Roman" w:cs="Times New Roman"/>
        </w:rPr>
        <w:t xml:space="preserve">, </w:t>
      </w:r>
      <w:hyperlink w:anchor="P73">
        <w:r w:rsidRPr="00F26AD3">
          <w:rPr>
            <w:rFonts w:ascii="Times New Roman" w:hAnsi="Times New Roman" w:cs="Times New Roman"/>
          </w:rPr>
          <w:t>2.12</w:t>
        </w:r>
      </w:hyperlink>
      <w:r w:rsidRPr="00F26AD3">
        <w:rPr>
          <w:rFonts w:ascii="Times New Roman" w:hAnsi="Times New Roman" w:cs="Times New Roman"/>
        </w:rPr>
        <w:t xml:space="preserve">, </w:t>
      </w:r>
      <w:hyperlink w:anchor="P77">
        <w:r w:rsidRPr="00F26AD3">
          <w:rPr>
            <w:rFonts w:ascii="Times New Roman" w:hAnsi="Times New Roman" w:cs="Times New Roman"/>
          </w:rPr>
          <w:t>2.13</w:t>
        </w:r>
      </w:hyperlink>
      <w:r w:rsidRPr="00F26AD3">
        <w:rPr>
          <w:rFonts w:ascii="Times New Roman" w:hAnsi="Times New Roman" w:cs="Times New Roman"/>
        </w:rPr>
        <w:t xml:space="preserve"> данного раздела Порядка, не проводится.</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Индексация размера годовой арендной платы за земельные участки, определенного в соответствии с </w:t>
      </w:r>
      <w:hyperlink w:anchor="P60">
        <w:r w:rsidRPr="00F26AD3">
          <w:rPr>
            <w:rFonts w:ascii="Times New Roman" w:hAnsi="Times New Roman" w:cs="Times New Roman"/>
          </w:rPr>
          <w:t>пунктами 2.5</w:t>
        </w:r>
      </w:hyperlink>
      <w:r w:rsidRPr="00F26AD3">
        <w:rPr>
          <w:rFonts w:ascii="Times New Roman" w:hAnsi="Times New Roman" w:cs="Times New Roman"/>
        </w:rPr>
        <w:t xml:space="preserve">, </w:t>
      </w:r>
      <w:hyperlink w:anchor="P61">
        <w:r w:rsidRPr="00F26AD3">
          <w:rPr>
            <w:rFonts w:ascii="Times New Roman" w:hAnsi="Times New Roman" w:cs="Times New Roman"/>
          </w:rPr>
          <w:t>2.6</w:t>
        </w:r>
      </w:hyperlink>
      <w:r w:rsidRPr="00F26AD3">
        <w:rPr>
          <w:rFonts w:ascii="Times New Roman" w:hAnsi="Times New Roman" w:cs="Times New Roman"/>
        </w:rPr>
        <w:t xml:space="preserve">, </w:t>
      </w:r>
      <w:hyperlink w:anchor="P63">
        <w:r w:rsidRPr="00F26AD3">
          <w:rPr>
            <w:rFonts w:ascii="Times New Roman" w:hAnsi="Times New Roman" w:cs="Times New Roman"/>
          </w:rPr>
          <w:t>2.7</w:t>
        </w:r>
      </w:hyperlink>
      <w:r w:rsidRPr="00F26AD3">
        <w:rPr>
          <w:rFonts w:ascii="Times New Roman" w:hAnsi="Times New Roman" w:cs="Times New Roman"/>
        </w:rPr>
        <w:t xml:space="preserve">, </w:t>
      </w:r>
      <w:hyperlink w:anchor="P65">
        <w:r w:rsidRPr="00F26AD3">
          <w:rPr>
            <w:rFonts w:ascii="Times New Roman" w:hAnsi="Times New Roman" w:cs="Times New Roman"/>
          </w:rPr>
          <w:t>2.8</w:t>
        </w:r>
      </w:hyperlink>
      <w:r w:rsidRPr="00F26AD3">
        <w:rPr>
          <w:rFonts w:ascii="Times New Roman" w:hAnsi="Times New Roman" w:cs="Times New Roman"/>
        </w:rPr>
        <w:t xml:space="preserve">, </w:t>
      </w:r>
      <w:hyperlink w:anchor="P71">
        <w:r w:rsidRPr="00F26AD3">
          <w:rPr>
            <w:rFonts w:ascii="Times New Roman" w:hAnsi="Times New Roman" w:cs="Times New Roman"/>
          </w:rPr>
          <w:t>2.11</w:t>
        </w:r>
      </w:hyperlink>
      <w:r w:rsidRPr="00F26AD3">
        <w:rPr>
          <w:rFonts w:ascii="Times New Roman" w:hAnsi="Times New Roman" w:cs="Times New Roman"/>
        </w:rPr>
        <w:t xml:space="preserve"> данного раздела Порядка, осуществляется с учетом предусмотренных законодательством Российской Федерации ограничений размера годовой арендной платы.</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Индексация размера годовой арендной платы за земельные участки не проводится в год,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Ярославской области.</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2.17.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w:t>
      </w:r>
      <w:r w:rsidRPr="00F26AD3">
        <w:rPr>
          <w:rFonts w:ascii="Times New Roman" w:hAnsi="Times New Roman" w:cs="Times New Roman"/>
        </w:rPr>
        <w:lastRenderedPageBreak/>
        <w:t>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принадлежащих им зданий, сооружений, помещений в зданиях, сооружениях (их частей) (размеру принадлежащей им доли).</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2.18. Размер годовой арендной платы пересматривается арендодателем в одностороннем порядке в следующих случаях:</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изменение кадастровой стоимости земельного участка;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перевод земельного участка из одной категории в другую или изменение вида разрешенного использования земельного участка;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изменение нормативных правовых актов Российской Федерации и (или) нормативных правовых актов Ярославской области, органов местного самоуправления городского округа город Переславль-Залесский Ярославской области, регулирующих исчисление арендной платы за использование земельных участков;</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 проведение индексации размера годовой арендной платы за земельный участок в соответствии с </w:t>
      </w:r>
      <w:hyperlink w:anchor="P93">
        <w:r w:rsidRPr="00F26AD3">
          <w:rPr>
            <w:rFonts w:ascii="Times New Roman" w:hAnsi="Times New Roman" w:cs="Times New Roman"/>
          </w:rPr>
          <w:t>пунктом 2.16</w:t>
        </w:r>
      </w:hyperlink>
      <w:r w:rsidRPr="00F26AD3">
        <w:rPr>
          <w:rFonts w:ascii="Times New Roman" w:hAnsi="Times New Roman" w:cs="Times New Roman"/>
        </w:rPr>
        <w:t xml:space="preserve"> данного раздела.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2.19. В случае предоставления земельного участка с более чем одним видом разрешенного использования для расчета размера арендной платы применяется ставка арендной платы за земельный участок того вида разрешенного использования, для которого указанное значение наибольшее.</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xml:space="preserve">2.20. </w:t>
      </w:r>
      <w:hyperlink w:anchor="P123">
        <w:r w:rsidRPr="00F26AD3">
          <w:rPr>
            <w:rFonts w:ascii="Times New Roman" w:hAnsi="Times New Roman" w:cs="Times New Roman"/>
          </w:rPr>
          <w:t>Ставки</w:t>
        </w:r>
      </w:hyperlink>
      <w:r w:rsidRPr="00F26AD3">
        <w:rPr>
          <w:rFonts w:ascii="Times New Roman" w:hAnsi="Times New Roman" w:cs="Times New Roman"/>
        </w:rPr>
        <w:t xml:space="preserve">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торгов, приведены в приложении к Порядку.</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Title"/>
        <w:jc w:val="center"/>
        <w:outlineLvl w:val="1"/>
        <w:rPr>
          <w:rFonts w:ascii="Times New Roman" w:hAnsi="Times New Roman" w:cs="Times New Roman"/>
        </w:rPr>
      </w:pPr>
      <w:r w:rsidRPr="00F26AD3">
        <w:rPr>
          <w:rFonts w:ascii="Times New Roman" w:hAnsi="Times New Roman" w:cs="Times New Roman"/>
        </w:rPr>
        <w:t>3. Порядок, условия и срок внесения арендной платы</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за земельные участки, находящиеся в собственности городского</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округа город Переславль-Залесский Ярославской области</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ind w:firstLine="540"/>
        <w:jc w:val="both"/>
        <w:rPr>
          <w:rFonts w:ascii="Times New Roman" w:hAnsi="Times New Roman" w:cs="Times New Roman"/>
        </w:rPr>
      </w:pPr>
      <w:r w:rsidRPr="00F26AD3">
        <w:rPr>
          <w:rFonts w:ascii="Times New Roman" w:hAnsi="Times New Roman" w:cs="Times New Roman"/>
        </w:rPr>
        <w:t xml:space="preserve">3.1. Арендная плата за земельные участки, находящиеся в собственности городского округа город Переславль-Залесский Ярославской области, вносится юридическими и физическими лицами согласно расчету размера арендной платы, осуществляемому в соответствии с </w:t>
      </w:r>
      <w:hyperlink w:anchor="P48">
        <w:r w:rsidRPr="00F26AD3">
          <w:rPr>
            <w:rFonts w:ascii="Times New Roman" w:hAnsi="Times New Roman" w:cs="Times New Roman"/>
          </w:rPr>
          <w:t>разделом 2</w:t>
        </w:r>
      </w:hyperlink>
      <w:r w:rsidRPr="00F26AD3">
        <w:rPr>
          <w:rFonts w:ascii="Times New Roman" w:hAnsi="Times New Roman" w:cs="Times New Roman"/>
        </w:rPr>
        <w:t xml:space="preserve"> Порядка, являющемуся неотъемлемой частью договора аренды земельного участка.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3.2. Арендная плата за использование земельных участков, находящихся в собственности городского округа город Переславль-Залесский Ярославской области, вносится:</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юридическими лицами, физическими лицами, являющимися индивидуальными предпринимателями, физическими лицами, не являющимися индивидуальными предпринимателями, ежемесячно до 10 числа месяца, следующего за отчетным, за исключением случаев, указанных в абзаце третьем данного пункта;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 физическими лицами в случае предоставления земельного участка для индивидуального жилищного строительства, ведения личного подсобного хозяйства (приусадебный земельный участок), ведения огородничества, ведения садоводства либо для размещения отдельно стоящих и пристроенных гаражей, в том числе подземных, предназначенных для хранения личного автотранспорта, один раз в год до 10 ноября отчетного года.</w:t>
      </w:r>
    </w:p>
    <w:p w:rsidR="00127945" w:rsidRPr="00F26AD3" w:rsidRDefault="00127945">
      <w:pPr>
        <w:pStyle w:val="ConsPlusNormal"/>
        <w:spacing w:before="220"/>
        <w:ind w:firstLine="540"/>
        <w:jc w:val="both"/>
        <w:rPr>
          <w:rFonts w:ascii="Times New Roman" w:hAnsi="Times New Roman" w:cs="Times New Roman"/>
        </w:rPr>
      </w:pPr>
      <w:r w:rsidRPr="00F26AD3">
        <w:rPr>
          <w:rFonts w:ascii="Times New Roman" w:hAnsi="Times New Roman" w:cs="Times New Roman"/>
        </w:rPr>
        <w:t>3.3.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right"/>
        <w:outlineLvl w:val="1"/>
        <w:rPr>
          <w:rFonts w:ascii="Times New Roman" w:hAnsi="Times New Roman" w:cs="Times New Roman"/>
        </w:rPr>
      </w:pPr>
      <w:r w:rsidRPr="00F26AD3">
        <w:rPr>
          <w:rFonts w:ascii="Times New Roman" w:hAnsi="Times New Roman" w:cs="Times New Roman"/>
        </w:rPr>
        <w:lastRenderedPageBreak/>
        <w:t>Приложение</w:t>
      </w:r>
    </w:p>
    <w:p w:rsidR="00127945" w:rsidRPr="00F26AD3" w:rsidRDefault="00127945">
      <w:pPr>
        <w:pStyle w:val="ConsPlusNormal"/>
        <w:jc w:val="right"/>
        <w:rPr>
          <w:rFonts w:ascii="Times New Roman" w:hAnsi="Times New Roman" w:cs="Times New Roman"/>
        </w:rPr>
      </w:pPr>
      <w:r w:rsidRPr="00F26AD3">
        <w:rPr>
          <w:rFonts w:ascii="Times New Roman" w:hAnsi="Times New Roman" w:cs="Times New Roman"/>
        </w:rPr>
        <w:t xml:space="preserve">к </w:t>
      </w:r>
      <w:hyperlink w:anchor="P38">
        <w:r w:rsidRPr="00F26AD3">
          <w:rPr>
            <w:rFonts w:ascii="Times New Roman" w:hAnsi="Times New Roman" w:cs="Times New Roman"/>
          </w:rPr>
          <w:t>Порядку</w:t>
        </w:r>
      </w:hyperlink>
    </w:p>
    <w:p w:rsidR="00127945" w:rsidRPr="00F26AD3" w:rsidRDefault="00127945">
      <w:pPr>
        <w:pStyle w:val="ConsPlusNormal"/>
        <w:jc w:val="both"/>
        <w:rPr>
          <w:rFonts w:ascii="Times New Roman" w:hAnsi="Times New Roman" w:cs="Times New Roman"/>
        </w:rPr>
      </w:pPr>
    </w:p>
    <w:p w:rsidR="00127945" w:rsidRPr="00F26AD3" w:rsidRDefault="00127945">
      <w:pPr>
        <w:pStyle w:val="ConsPlusTitle"/>
        <w:jc w:val="center"/>
        <w:rPr>
          <w:rFonts w:ascii="Times New Roman" w:hAnsi="Times New Roman" w:cs="Times New Roman"/>
        </w:rPr>
      </w:pPr>
      <w:bookmarkStart w:id="18" w:name="P123"/>
      <w:bookmarkEnd w:id="18"/>
      <w:r w:rsidRPr="00F26AD3">
        <w:rPr>
          <w:rFonts w:ascii="Times New Roman" w:hAnsi="Times New Roman" w:cs="Times New Roman"/>
        </w:rPr>
        <w:t>СТАВКИ</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арендной платы за земельные участки, находящиеся</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в собственности городского округа город Переславль-Залесский</w:t>
      </w:r>
    </w:p>
    <w:p w:rsidR="00127945" w:rsidRPr="00F26AD3" w:rsidRDefault="00127945">
      <w:pPr>
        <w:pStyle w:val="ConsPlusTitle"/>
        <w:jc w:val="center"/>
        <w:rPr>
          <w:rFonts w:ascii="Times New Roman" w:hAnsi="Times New Roman" w:cs="Times New Roman"/>
        </w:rPr>
      </w:pPr>
      <w:r w:rsidRPr="00F26AD3">
        <w:rPr>
          <w:rFonts w:ascii="Times New Roman" w:hAnsi="Times New Roman" w:cs="Times New Roman"/>
        </w:rPr>
        <w:t>Ярославской области, предоставленные в аренду без торгов</w:t>
      </w:r>
    </w:p>
    <w:p w:rsidR="00127945" w:rsidRPr="00F26AD3" w:rsidRDefault="0012794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122"/>
        <w:gridCol w:w="2154"/>
      </w:tblGrid>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N</w:t>
            </w:r>
          </w:p>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п/п</w:t>
            </w:r>
          </w:p>
        </w:tc>
        <w:tc>
          <w:tcPr>
            <w:tcW w:w="6122"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Наименование, код вида разрешенного использования земельного участка в соответствии с классификатором видов разрешенного использования земельных участков</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Ставка арендной платы</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w:t>
            </w:r>
          </w:p>
        </w:tc>
        <w:tc>
          <w:tcPr>
            <w:tcW w:w="6122"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Сельскохозяйственное использование (1.0)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Растениеводство (1.1)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Выращивание зерновых и иных сельскохозяйственных культур (1.2)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Овощеводство (1.3)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Выращивание тонизирующих, лекарственных, цветочных культур (1.4)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Садоводство (1.5)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Выращивание льна и конопли (1.6)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Животноводство (1.7)</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Скотоводство (1.8)</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Звероводство (1.9)</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Птицеводство (1.10)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Свиноводство (1.11)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Пчеловодство (1.12)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Рыбоводство (1.13)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Научное обеспечение сельского хозяйства (1.14)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Хранение и переработка сельскохозяйственной продукции (1.15)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Ведение личного подсобного хозяйства на полевых участках (1.16)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Питомники (1.17)</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сельскохозяйственного производства (1.18)</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Сенокошение (1.19)</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Выпас сельскохозяйственных животных (1.20)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0,3</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lastRenderedPageBreak/>
              <w:t>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Жилая застройка (2.0)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Для индивидуального жилищного строительства (2.1)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Малоэтажная многоквартирная жилая застройка (2.1.1)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Для ведения личного подсобного хозяйства (приусадебный земельный участок) (2.2)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Блокированная жилая застройка (2.3)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Передвижное жилье (2.4)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2.6</w:t>
            </w:r>
          </w:p>
        </w:tc>
        <w:tc>
          <w:tcPr>
            <w:tcW w:w="6122" w:type="dxa"/>
          </w:tcPr>
          <w:p w:rsidR="00127945" w:rsidRPr="00F26AD3" w:rsidRDefault="00127945">
            <w:pPr>
              <w:pStyle w:val="ConsPlusNormal"/>
              <w:rPr>
                <w:rFonts w:ascii="Times New Roman" w:hAnsi="Times New Roman" w:cs="Times New Roman"/>
              </w:rPr>
            </w:pPr>
            <w:proofErr w:type="spellStart"/>
            <w:r w:rsidRPr="00F26AD3">
              <w:rPr>
                <w:rFonts w:ascii="Times New Roman" w:hAnsi="Times New Roman" w:cs="Times New Roman"/>
              </w:rPr>
              <w:t>Среднеэтажная</w:t>
            </w:r>
            <w:proofErr w:type="spellEnd"/>
            <w:r w:rsidRPr="00F26AD3">
              <w:rPr>
                <w:rFonts w:ascii="Times New Roman" w:hAnsi="Times New Roman" w:cs="Times New Roman"/>
              </w:rPr>
              <w:t xml:space="preserve"> жилая застройка (2.5)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Многоэтажная жилая застройка (высотная застройка) (2.6)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Обслуживание жилой застройки (2.7)</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Хранение автотранспорта (2.7.1)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Общественное использование объектов капитального строительства (3.0)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Коммунальное обслуживание (3.1)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Предоставление коммунальных услуг (3.1.1)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Социальное обслуживание (3.2)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Дома социального обслуживания (3.2.1)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Оказание социальной помощи населению (3.2.2)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Оказание услуг связи (3.2.3)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Общежития (3.2.4)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Бытовое обслуживание (3.3)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Здравоохранение (3.4)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Амбулаторно-поликлиническое обслуживание (3.4.1)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Стационарное медицинское обслуживание (3.4.2)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Медицинские организации особого назначения (3.4.3)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Образование и просвещение (3.5)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Дошкольное, начальное и среднее общее образование (3.5.1)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Среднее и высшее профессиональное образование (3.5.2)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Культурное развитие (3.6)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3.18</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Объекты культурно-досуговой деятельности (3.6.1):</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зданий, предназначенных для размещения музеев, выставочных залов, художественных галерей, домов культуры, библиотек, театров, филармоний, концертных залов, планетариев</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зданий, предназначенных для кинотеатров и кинозалов, устройство площадок для празднеств и гуляний</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Парки культуры и отдыха (3.6.2)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Цирки и зверинцы (3.6.3)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Религиозное использование (3.7)</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Осуществление религиозных обрядов (3.7.1)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Религиозное управление и образование (3.7.2)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Общественное управление (3.8)</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Государственное управление (3.8.1)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Представительская деятельность (3.8.2)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научной деятельности (3.9)</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деятельности в области гидрометеорологии и смежных с ней областях (3.9.1)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3.29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Проведение научных исследований (3.9.2)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3.30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Проведение научных испытаний (3.9.3)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3.31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Ветеринарное обслуживание (3.10)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3.32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Амбулаторное ветеринарное обслуживание (3.10.1)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3.33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Приюты для животных (3.10.2)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Предпринимательство (4.0)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Деловое управление (4.1)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4.2</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Объекты торговли (торговые центры, торгово-развлекательные центры (комплексы)) (4.2):</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4.3</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Рынки (4.3):</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26AD3">
              <w:rPr>
                <w:rFonts w:ascii="Times New Roman" w:hAnsi="Times New Roman" w:cs="Times New Roman"/>
              </w:rPr>
              <w:lastRenderedPageBreak/>
              <w:t>того, что каждое из торговых мест не располагает торговой площадью более 200 кв. м</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lastRenderedPageBreak/>
              <w:t>1,5</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гаражей и (или) стоянок для автомобилей сотрудников и посетителей рынка</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Магазины (4.4)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Банковская и страховая деятельность (4.5)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Общественное питание (4.6)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Гостиничное обслуживание (4.7)</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Развлечения (4.8)</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Развлекательные мероприятия (4.8.1)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Проведение азартных игр (4.8.2)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Служебные гаражи (4.9)</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Объекты дорожного сервиса (4.9.1)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Заправка транспортных средств (4.9.1.1)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дорожного отдыха (4.9.1.2)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Автомобильные мойки (4.9.1.3)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Ремонт автомобилей (4.9.1.4)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4.17</w:t>
            </w:r>
          </w:p>
        </w:tc>
        <w:tc>
          <w:tcPr>
            <w:tcW w:w="6122" w:type="dxa"/>
          </w:tcPr>
          <w:p w:rsidR="00127945" w:rsidRPr="00F26AD3" w:rsidRDefault="00127945">
            <w:pPr>
              <w:pStyle w:val="ConsPlusNormal"/>
              <w:rPr>
                <w:rFonts w:ascii="Times New Roman" w:hAnsi="Times New Roman" w:cs="Times New Roman"/>
              </w:rPr>
            </w:pPr>
            <w:proofErr w:type="spellStart"/>
            <w:r w:rsidRPr="00F26AD3">
              <w:rPr>
                <w:rFonts w:ascii="Times New Roman" w:hAnsi="Times New Roman" w:cs="Times New Roman"/>
              </w:rPr>
              <w:t>Выставочно</w:t>
            </w:r>
            <w:proofErr w:type="spellEnd"/>
            <w:r w:rsidRPr="00F26AD3">
              <w:rPr>
                <w:rFonts w:ascii="Times New Roman" w:hAnsi="Times New Roman" w:cs="Times New Roman"/>
              </w:rPr>
              <w:t>-ярмарочная деятельность (4.10)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Отдых (рекреация) (5.0)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Спорт (5.1)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спортивно-зрелищных мероприятий (5.1.1)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занятий спортом в помещениях (5.1.2)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Площадки для занятий спортом (5.1.3)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Оборудованные площадки для занятий спортом (5.1.4)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Водный спорт (5.1.5)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Авиационный спорт (5.1.6)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Спортивные базы (5.1.7)</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Природно-познавательный туризм (5.2)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5.10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Туристическое обслуживание (5.2.1)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Охота и рыбалка (5.3)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Причалы для маломерных судов (5.4)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5.13</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Поля для гольфа или конных прогулок (5.5):</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обустройство мест для игры в гольф или осуществления конных прогулок, в том числе осуществление необходимых земляных работ и размещение вспомогательных сооружений</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конноспортивных манежей, не предусматривающих устройство трибун</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Производственная деятельность (6.0)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Недропользование (6.1)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Тяжелая промышленность (6.2)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Автомобилестроительная промышленность (6.2.1)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Легкая промышленность (6.3)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Фармацевтическая промышленность (6.3.1)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Пищевая промышленность (6.4)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Нефтехимическая промышленность (6.5)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Строительная промышленность (6.6)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Энергетика (6.7)</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6.10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Атомная энергетика (6.7.1)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Связь (6.8)</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5,6</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Склады (6.9)</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0,9</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6.13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Складские площадки (6.9.1)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0,9</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6.14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Целлюлозно-бумажная промышленность (6.11)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6.15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Научно-производственная деятельность (6.12)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Транспорт (7.0)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Железнодорожный транспорт (7.1)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Железнодорожные пути (7.1.1)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Обслуживание железнодорожных перевозок (7.1.2)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Автомобильный транспорт (7.2)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7.5</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Размещение автомобильных дорог (7.2.1):</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xml:space="preserve">- размещение объектов, предназначенных для размещения </w:t>
            </w:r>
            <w:r w:rsidRPr="00F26AD3">
              <w:rPr>
                <w:rFonts w:ascii="Times New Roman" w:hAnsi="Times New Roman" w:cs="Times New Roman"/>
              </w:rPr>
              <w:lastRenderedPageBreak/>
              <w:t>постов органов внутренних дел, ответственных за безопасность дорожного движения</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lastRenderedPageBreak/>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Обслуживание перевозок пассажиров (7.2.2)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Стоянки транспорта общего пользования (7.2.3)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Водный транспорт (7.3)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Воздушный транспорт (7.4)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7.10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Трубопроводный транспорт (7.5)</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7.11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Внеуличный транспорт (7.6)</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3,1</w:t>
            </w:r>
          </w:p>
        </w:tc>
      </w:tr>
      <w:tr w:rsidR="00F26AD3" w:rsidRPr="00F26AD3">
        <w:tc>
          <w:tcPr>
            <w:tcW w:w="794" w:type="dxa"/>
            <w:vMerge w:val="restart"/>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8</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обороны и безопасности (8.0):</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обеспечивающих осуществление таможенной деятельности</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8.1</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вооруженных сил (8.1):</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xml:space="preserve">-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F26AD3">
              <w:rPr>
                <w:rFonts w:ascii="Times New Roman" w:hAnsi="Times New Roman" w:cs="Times New Roman"/>
              </w:rPr>
              <w:t>вооружений</w:t>
            </w:r>
            <w:proofErr w:type="gramEnd"/>
            <w:r w:rsidRPr="00F26AD3">
              <w:rPr>
                <w:rFonts w:ascii="Times New Roman" w:hAnsi="Times New Roman" w:cs="Times New Roman"/>
              </w:rPr>
              <w:t xml:space="preserve"> или боеприпасов</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8.2</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Охрана Государственной границы Российской Федерации (8.2):</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2,1</w:t>
            </w: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зданий для размещения пограничных воинских частей и органов управления ими</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зданий для размещения пунктов пропуска через Государственную границу Российской Федерации</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1,5</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8.3</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внутреннего правопорядка (8.3):</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капитального строительства, необходимых для подготовки и поддержания в готовности органов внутренних дел, Федеральной службы войск национальной гвардии Российской Федерации и спасательных служб, в которых существует военизированная служба</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8.4</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Обеспечение деятельности по исполнению наказаний (8.4):</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капитального строительства для создания мест лишения свободы (следственные изоляторы, тюрьмы)</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размещение объектов капитального строительства для создания мест лишения свободы (поселения)</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9</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Деятельность по особой охране и изучению природы (9.0)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9.1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Охрана природных территорий (9.1)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9.2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Курортная деятельность (9.2)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9.3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Санаторная деятельность (9.2.1)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9.4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Историко-культурная деятельность (9.3)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2,2</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10</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Использование лесов (10.0)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vMerge w:val="restart"/>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10.1</w:t>
            </w:r>
          </w:p>
        </w:tc>
        <w:tc>
          <w:tcPr>
            <w:tcW w:w="6122" w:type="dxa"/>
            <w:tcBorders>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Заготовка древесины (10.1):</w:t>
            </w:r>
          </w:p>
        </w:tc>
        <w:tc>
          <w:tcPr>
            <w:tcW w:w="2154" w:type="dxa"/>
            <w:tcBorders>
              <w:bottom w:val="nil"/>
            </w:tcBorders>
          </w:tcPr>
          <w:p w:rsidR="00127945" w:rsidRPr="00F26AD3" w:rsidRDefault="00127945">
            <w:pPr>
              <w:pStyle w:val="ConsPlusNormal"/>
              <w:rPr>
                <w:rFonts w:ascii="Times New Roman" w:hAnsi="Times New Roman" w:cs="Times New Roman"/>
              </w:rPr>
            </w:pPr>
          </w:p>
        </w:tc>
      </w:tr>
      <w:tr w:rsidR="00F26AD3" w:rsidRPr="00F26AD3">
        <w:tblPrEx>
          <w:tblBorders>
            <w:insideH w:val="nil"/>
          </w:tblBorders>
        </w:tblPrEx>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bottom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рубка лесных насаждений, выросших в природных условиях, в том числе гражданами для собственных нужд, охрана и восстановление лесов</w:t>
            </w:r>
          </w:p>
        </w:tc>
        <w:tc>
          <w:tcPr>
            <w:tcW w:w="2154" w:type="dxa"/>
            <w:tcBorders>
              <w:top w:val="nil"/>
              <w:bottom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vMerge/>
          </w:tcPr>
          <w:p w:rsidR="00127945" w:rsidRPr="00F26AD3" w:rsidRDefault="00127945">
            <w:pPr>
              <w:pStyle w:val="ConsPlusNormal"/>
              <w:rPr>
                <w:rFonts w:ascii="Times New Roman" w:hAnsi="Times New Roman" w:cs="Times New Roman"/>
              </w:rPr>
            </w:pPr>
          </w:p>
        </w:tc>
        <w:tc>
          <w:tcPr>
            <w:tcW w:w="6122" w:type="dxa"/>
            <w:tcBorders>
              <w:top w:val="nil"/>
            </w:tcBorders>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 частичная переработка, хранение и вывоз древесины, размещение сооружений, необходимых для обработки и хранения древесины (лесных складов, лесопилен), создание лесных дорог</w:t>
            </w:r>
          </w:p>
        </w:tc>
        <w:tc>
          <w:tcPr>
            <w:tcW w:w="2154" w:type="dxa"/>
            <w:tcBorders>
              <w:top w:val="nil"/>
            </w:tcBorders>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10.2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Лесные плантации (10.2)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10.3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Заготовка лесных ресурсов (10.3)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10.4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Резервные леса (10.4)</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Водные объекты (11.0)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Общее пользование водными объектами (11.1)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lastRenderedPageBreak/>
              <w:t>11.2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Специальное пользование водными объектами (11.2)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Гидротехнические сооружения (11.3)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outlineLvl w:val="2"/>
              <w:rPr>
                <w:rFonts w:ascii="Times New Roman" w:hAnsi="Times New Roman" w:cs="Times New Roman"/>
              </w:rPr>
            </w:pPr>
            <w:r w:rsidRPr="00F26AD3">
              <w:rPr>
                <w:rFonts w:ascii="Times New Roman" w:hAnsi="Times New Roman" w:cs="Times New Roman"/>
              </w:rPr>
              <w:t>12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Земельные участки (территории) общего пользования (12.0)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12.1</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Улично-дорожная сеть (12.0.1)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1,1</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12.2</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Благоустройство территории (12.0.2)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12.3</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Ритуальная деятельность (12.1)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12.4</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Специальная деятельность (12.2)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12.5</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Запас (12.3)</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3,0</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12.6</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Земельные участки общего назначения (13.0)</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12.7</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Ведение огородничества (13.1)</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0,5</w:t>
            </w:r>
          </w:p>
        </w:tc>
      </w:tr>
      <w:tr w:rsidR="00F26AD3" w:rsidRPr="00F26AD3">
        <w:tc>
          <w:tcPr>
            <w:tcW w:w="79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12.8</w:t>
            </w:r>
          </w:p>
        </w:tc>
        <w:tc>
          <w:tcPr>
            <w:tcW w:w="6122" w:type="dxa"/>
          </w:tcPr>
          <w:p w:rsidR="00127945" w:rsidRPr="00F26AD3" w:rsidRDefault="00127945">
            <w:pPr>
              <w:pStyle w:val="ConsPlusNormal"/>
              <w:rPr>
                <w:rFonts w:ascii="Times New Roman" w:hAnsi="Times New Roman" w:cs="Times New Roman"/>
              </w:rPr>
            </w:pPr>
            <w:r w:rsidRPr="00F26AD3">
              <w:rPr>
                <w:rFonts w:ascii="Times New Roman" w:hAnsi="Times New Roman" w:cs="Times New Roman"/>
              </w:rPr>
              <w:t>Ведение садоводства (13.2)</w:t>
            </w:r>
          </w:p>
        </w:tc>
        <w:tc>
          <w:tcPr>
            <w:tcW w:w="2154" w:type="dxa"/>
          </w:tcPr>
          <w:p w:rsidR="00127945" w:rsidRPr="00F26AD3" w:rsidRDefault="00127945">
            <w:pPr>
              <w:pStyle w:val="ConsPlusNormal"/>
              <w:jc w:val="center"/>
              <w:rPr>
                <w:rFonts w:ascii="Times New Roman" w:hAnsi="Times New Roman" w:cs="Times New Roman"/>
              </w:rPr>
            </w:pPr>
            <w:r w:rsidRPr="00F26AD3">
              <w:rPr>
                <w:rFonts w:ascii="Times New Roman" w:hAnsi="Times New Roman" w:cs="Times New Roman"/>
              </w:rPr>
              <w:t>0,5</w:t>
            </w:r>
          </w:p>
        </w:tc>
      </w:tr>
    </w:tbl>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jc w:val="both"/>
        <w:rPr>
          <w:rFonts w:ascii="Times New Roman" w:hAnsi="Times New Roman" w:cs="Times New Roman"/>
        </w:rPr>
      </w:pPr>
    </w:p>
    <w:p w:rsidR="00127945" w:rsidRPr="00F26AD3" w:rsidRDefault="00127945">
      <w:pPr>
        <w:pStyle w:val="ConsPlusNormal"/>
        <w:pBdr>
          <w:bottom w:val="single" w:sz="6" w:space="0" w:color="auto"/>
        </w:pBdr>
        <w:spacing w:before="100" w:after="100"/>
        <w:jc w:val="both"/>
        <w:rPr>
          <w:rFonts w:ascii="Times New Roman" w:hAnsi="Times New Roman" w:cs="Times New Roman"/>
          <w:sz w:val="2"/>
          <w:szCs w:val="2"/>
        </w:rPr>
      </w:pPr>
    </w:p>
    <w:p w:rsidR="00D72427" w:rsidRPr="00F26AD3" w:rsidRDefault="00D72427">
      <w:pPr>
        <w:rPr>
          <w:rFonts w:ascii="Times New Roman" w:hAnsi="Times New Roman" w:cs="Times New Roman"/>
        </w:rPr>
      </w:pPr>
    </w:p>
    <w:sectPr w:rsidR="00D72427" w:rsidRPr="00F26AD3" w:rsidSect="00325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45"/>
    <w:rsid w:val="00127945"/>
    <w:rsid w:val="001A764A"/>
    <w:rsid w:val="00473901"/>
    <w:rsid w:val="00D72427"/>
    <w:rsid w:val="00F2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FAFD"/>
  <w15:chartTrackingRefBased/>
  <w15:docId w15:val="{2519D58C-E9A6-4C0C-A7E8-6050C9F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9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7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79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7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79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79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79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79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24882" TargetMode="External"/><Relationship Id="rId13" Type="http://schemas.openxmlformats.org/officeDocument/2006/relationships/hyperlink" Target="https://login.consultant.ru/link/?req=doc&amp;base=LAW&amp;n=471068&amp;dst=1152" TargetMode="External"/><Relationship Id="rId18" Type="http://schemas.openxmlformats.org/officeDocument/2006/relationships/hyperlink" Target="https://login.consultant.ru/link/?req=doc&amp;base=LAW&amp;n=48307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97&amp;dst=95" TargetMode="External"/><Relationship Id="rId7" Type="http://schemas.openxmlformats.org/officeDocument/2006/relationships/hyperlink" Target="https://login.consultant.ru/link/?req=doc&amp;base=RLAW086&amp;n=149058" TargetMode="External"/><Relationship Id="rId12" Type="http://schemas.openxmlformats.org/officeDocument/2006/relationships/hyperlink" Target="https://login.consultant.ru/link/?req=doc&amp;base=LAW&amp;n=471068&amp;dst=522" TargetMode="External"/><Relationship Id="rId17" Type="http://schemas.openxmlformats.org/officeDocument/2006/relationships/hyperlink" Target="https://login.consultant.ru/link/?req=doc&amp;base=LAW&amp;n=48313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9797" TargetMode="External"/><Relationship Id="rId20" Type="http://schemas.openxmlformats.org/officeDocument/2006/relationships/hyperlink" Target="https://login.consultant.ru/link/?req=doc&amp;base=LAW&amp;n=471068&amp;dst=1267" TargetMode="External"/><Relationship Id="rId1" Type="http://schemas.openxmlformats.org/officeDocument/2006/relationships/styles" Target="styles.xml"/><Relationship Id="rId6" Type="http://schemas.openxmlformats.org/officeDocument/2006/relationships/hyperlink" Target="https://login.consultant.ru/link/?req=doc&amp;base=RLAW086&amp;n=125842" TargetMode="External"/><Relationship Id="rId11" Type="http://schemas.openxmlformats.org/officeDocument/2006/relationships/hyperlink" Target="https://login.consultant.ru/link/?req=doc&amp;base=LAW&amp;n=471068&amp;dst=470" TargetMode="External"/><Relationship Id="rId24" Type="http://schemas.openxmlformats.org/officeDocument/2006/relationships/fontTable" Target="fontTable.xml"/><Relationship Id="rId5" Type="http://schemas.openxmlformats.org/officeDocument/2006/relationships/hyperlink" Target="https://login.consultant.ru/link/?req=doc&amp;base=LAW&amp;n=471024" TargetMode="External"/><Relationship Id="rId15" Type="http://schemas.openxmlformats.org/officeDocument/2006/relationships/hyperlink" Target="https://login.consultant.ru/link/?req=doc&amp;base=LAW&amp;n=471068&amp;dst=521" TargetMode="External"/><Relationship Id="rId23" Type="http://schemas.openxmlformats.org/officeDocument/2006/relationships/image" Target="media/image1.wmf"/><Relationship Id="rId10" Type="http://schemas.openxmlformats.org/officeDocument/2006/relationships/hyperlink" Target="https://login.consultant.ru/link/?req=doc&amp;base=LAW&amp;n=471068&amp;dst=470" TargetMode="External"/><Relationship Id="rId19" Type="http://schemas.openxmlformats.org/officeDocument/2006/relationships/hyperlink" Target="https://login.consultant.ru/link/?req=doc&amp;base=LAW&amp;n=483074" TargetMode="External"/><Relationship Id="rId4" Type="http://schemas.openxmlformats.org/officeDocument/2006/relationships/hyperlink" Target="https://login.consultant.ru/link/?req=doc&amp;base=LAW&amp;n=471068&amp;dst=519" TargetMode="External"/><Relationship Id="rId9" Type="http://schemas.openxmlformats.org/officeDocument/2006/relationships/hyperlink" Target="https://login.consultant.ru/link/?req=doc&amp;base=LAW&amp;n=471068&amp;dst=519" TargetMode="External"/><Relationship Id="rId14" Type="http://schemas.openxmlformats.org/officeDocument/2006/relationships/hyperlink" Target="https://login.consultant.ru/link/?req=doc&amp;base=LAW&amp;n=471068&amp;dst=524" TargetMode="External"/><Relationship Id="rId22" Type="http://schemas.openxmlformats.org/officeDocument/2006/relationships/hyperlink" Target="https://login.consultant.ru/link/?req=doc&amp;base=LAW&amp;n=487023&amp;dst=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4924</Words>
  <Characters>28070</Characters>
  <Application>Microsoft Office Word</Application>
  <DocSecurity>0</DocSecurity>
  <Lines>233</Lines>
  <Paragraphs>65</Paragraphs>
  <ScaleCrop>false</ScaleCrop>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2024-11-02T06:42:00Z</dcterms:created>
  <dcterms:modified xsi:type="dcterms:W3CDTF">2024-11-02T06:46:00Z</dcterms:modified>
</cp:coreProperties>
</file>