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A" w:rsidRPr="0011761F" w:rsidRDefault="0055150A" w:rsidP="0055150A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r w:rsidRPr="0011761F"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>Протокол от 23.</w:t>
      </w:r>
      <w:r>
        <w:rPr>
          <w:rFonts w:cs="Times New Roman"/>
          <w:kern w:val="26"/>
          <w:sz w:val="26"/>
          <w:szCs w:val="26"/>
        </w:rPr>
        <w:t>06</w:t>
      </w:r>
      <w:r w:rsidRPr="0011761F">
        <w:rPr>
          <w:rFonts w:cs="Times New Roman"/>
          <w:kern w:val="26"/>
          <w:sz w:val="26"/>
          <w:szCs w:val="26"/>
        </w:rPr>
        <w:t>.2015 № 1</w:t>
      </w:r>
      <w:r w:rsidR="008A2937">
        <w:rPr>
          <w:rFonts w:cs="Times New Roman"/>
          <w:kern w:val="26"/>
          <w:sz w:val="26"/>
          <w:szCs w:val="26"/>
        </w:rPr>
        <w:t>2</w:t>
      </w:r>
      <w:r w:rsidRPr="0011761F">
        <w:rPr>
          <w:rFonts w:cs="Times New Roman"/>
          <w:kern w:val="26"/>
          <w:sz w:val="26"/>
          <w:szCs w:val="26"/>
        </w:rPr>
        <w:t>.</w:t>
      </w:r>
    </w:p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>
        <w:t>Примерная</w:t>
      </w: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государственного (муниципального) учреждения и унитарного предприятия Ярославской </w:t>
      </w:r>
      <w:r w:rsidR="00B00F7D">
        <w:t>области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7" o:title=""/>
          </v:shape>
          <o:OLEObject Type="Embed" ProgID="Visio.Drawing.11" ShapeID="_x0000_i1025" DrawAspect="Content" ObjectID="_1625980450" r:id="rId18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7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13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16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18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19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21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23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31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36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47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48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50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9E6F77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51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9E6F77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26FBD" w:rsidRDefault="00926FBD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0" w:name="_Toc448228227"/>
      <w:r>
        <w:rPr>
          <w:rFonts w:cs="Times New Roman"/>
          <w:b/>
          <w:kern w:val="26"/>
          <w:szCs w:val="28"/>
        </w:rPr>
        <w:t>Лист изменений</w:t>
      </w:r>
      <w:bookmarkEnd w:id="0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/>
      </w:tblPr>
      <w:tblGrid>
        <w:gridCol w:w="592"/>
        <w:gridCol w:w="1359"/>
        <w:gridCol w:w="5387"/>
        <w:gridCol w:w="2232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5767">
              <w:rPr>
                <w:sz w:val="24"/>
                <w:szCs w:val="24"/>
              </w:rPr>
              <w:t>/</w:t>
            </w:r>
            <w:proofErr w:type="spellStart"/>
            <w:r w:rsidRPr="00AF57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7B0064" w:rsidRDefault="009E6F77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bookmarkStart w:id="1" w:name="_GoBack"/>
              <w:bookmarkEnd w:id="1"/>
              <w:r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fldChar w:fldCharType="begin"/>
              </w:r>
              <w:r w:rsidR="00926FBD"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instrText xml:space="preserve"> HYPERLINK "http://directum.adm.yar.ru/doc.asp?sys=DIRECTUM&amp;id=5593189" </w:instrText>
              </w:r>
              <w:r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fldChar w:fldCharType="separate"/>
              </w:r>
              <w:r w:rsidR="00926FBD" w:rsidRPr="007B0064">
                <w:rPr>
                  <w:rStyle w:val="af2"/>
                  <w:rFonts w:ascii="Times New Roman" w:eastAsiaTheme="majorEastAsia" w:hAnsi="Times New Roman" w:cs="Times New Roman"/>
                  <w:color w:val="1F497D" w:themeColor="text2"/>
                </w:rPr>
                <w:t xml:space="preserve">письмо </w:t>
              </w:r>
              <w:r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fldChar w:fldCharType="end"/>
              </w:r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7B0064" w:rsidRDefault="009E6F77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hyperlink r:id="rId21" w:history="1">
                <w:r w:rsidR="00926FBD" w:rsidRPr="007B0064">
                  <w:rPr>
                    <w:rStyle w:val="af2"/>
                    <w:rFonts w:ascii="Times New Roman" w:eastAsiaTheme="majorEastAsia" w:hAnsi="Times New Roman" w:cstheme="majorBidi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</w:tbl>
    <w:p w:rsidR="00926FBD" w:rsidRDefault="00926FBD" w:rsidP="00926FBD">
      <w:pPr>
        <w:spacing w:line="276" w:lineRule="auto"/>
        <w:ind w:firstLine="0"/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55150A" w:rsidRDefault="0055150A"/>
    <w:tbl>
      <w:tblPr>
        <w:tblStyle w:val="a5"/>
        <w:tblW w:w="0" w:type="auto"/>
        <w:tblLook w:val="00A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4D65E5" w:rsidP="008E46B4">
            <w:pPr>
              <w:rPr>
                <w:rFonts w:cs="Times New Roman"/>
                <w:szCs w:val="28"/>
              </w:rPr>
            </w:pPr>
            <w:bookmarkStart w:id="2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6F0AB6" w:rsidRDefault="006F0AB6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3" w:name="_Toc424284807"/>
      <w:r w:rsidRPr="000E150C">
        <w:rPr>
          <w:b/>
          <w:sz w:val="28"/>
          <w:szCs w:val="28"/>
        </w:rPr>
        <w:t>ПРИКАЗ</w:t>
      </w:r>
      <w:bookmarkEnd w:id="3"/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W w:w="9570" w:type="dxa"/>
        <w:tblBorders>
          <w:insideH w:val="single" w:sz="4" w:space="0" w:color="auto"/>
        </w:tblBorders>
        <w:tblLook w:val="01E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6F0AB6" w:rsidRPr="00F3057C" w:rsidTr="008E46B4">
        <w:tc>
          <w:tcPr>
            <w:tcW w:w="498" w:type="dxa"/>
          </w:tcPr>
          <w:p w:rsidR="006F0AB6" w:rsidRPr="00F3057C" w:rsidRDefault="006F0AB6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6F0AB6" w:rsidRPr="00F3057C" w:rsidRDefault="006F0AB6" w:rsidP="008E46B4">
            <w:pPr>
              <w:pStyle w:val="24"/>
              <w:ind w:right="-158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6F0AB6" w:rsidRPr="00F3057C" w:rsidRDefault="006F0AB6" w:rsidP="008E46B4">
            <w:pPr>
              <w:pStyle w:val="24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0AB6" w:rsidRPr="00B915B6" w:rsidRDefault="006F0AB6" w:rsidP="008E46B4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</w:tcPr>
          <w:p w:rsidR="006F0AB6" w:rsidRPr="005B51BA" w:rsidRDefault="009E6F77" w:rsidP="008E46B4">
            <w:pPr>
              <w:pStyle w:val="15"/>
              <w:ind w:left="-533" w:firstLine="0"/>
              <w:jc w:val="right"/>
              <w:rPr>
                <w:color w:val="FF0000"/>
                <w:sz w:val="28"/>
                <w:szCs w:val="28"/>
              </w:rPr>
            </w:pPr>
            <w:r w:rsidRPr="005B51BA">
              <w:rPr>
                <w:color w:val="FF0000"/>
                <w:sz w:val="28"/>
                <w:szCs w:val="28"/>
              </w:rPr>
              <w:fldChar w:fldCharType="begin"/>
            </w:r>
            <w:r w:rsidR="006F0AB6" w:rsidRPr="005B51BA">
              <w:rPr>
                <w:color w:val="FF0000"/>
                <w:sz w:val="28"/>
                <w:szCs w:val="28"/>
              </w:rPr>
              <w:instrText xml:space="preserve"> CREATEDATE  \@ "d MMMM"  \* MERGEFORMAT </w:instrText>
            </w:r>
            <w:r w:rsidRPr="005B51BA">
              <w:rPr>
                <w:color w:val="FF0000"/>
                <w:sz w:val="28"/>
                <w:szCs w:val="28"/>
              </w:rPr>
              <w:fldChar w:fldCharType="separate"/>
            </w:r>
            <w:r w:rsidR="00EA73D4" w:rsidRPr="00EA73D4">
              <w:rPr>
                <w:noProof/>
                <w:vanish/>
                <w:color w:val="FF0000"/>
                <w:sz w:val="28"/>
                <w:szCs w:val="28"/>
              </w:rPr>
              <w:t xml:space="preserve">22 </w:t>
            </w:r>
            <w:r w:rsidR="00EA73D4">
              <w:rPr>
                <w:noProof/>
                <w:color w:val="FF0000"/>
                <w:sz w:val="28"/>
                <w:szCs w:val="28"/>
              </w:rPr>
              <w:t>июня</w:t>
            </w:r>
            <w:r w:rsidRPr="005B51BA">
              <w:rPr>
                <w:color w:val="FF0000"/>
                <w:sz w:val="28"/>
                <w:szCs w:val="28"/>
              </w:rPr>
              <w:fldChar w:fldCharType="end"/>
            </w:r>
            <w:r w:rsidR="006F0AB6" w:rsidRPr="005B51BA">
              <w:rPr>
                <w:color w:val="FF0000"/>
                <w:sz w:val="28"/>
                <w:szCs w:val="28"/>
              </w:rPr>
              <w:t xml:space="preserve"> </w:t>
            </w:r>
            <w:r w:rsidRPr="005B51BA">
              <w:rPr>
                <w:color w:val="FF0000"/>
                <w:sz w:val="28"/>
                <w:szCs w:val="28"/>
              </w:rPr>
              <w:fldChar w:fldCharType="begin"/>
            </w:r>
            <w:r w:rsidR="006F0AB6" w:rsidRPr="005B51BA">
              <w:rPr>
                <w:color w:val="FF0000"/>
                <w:sz w:val="28"/>
                <w:szCs w:val="28"/>
              </w:rPr>
              <w:instrText xml:space="preserve"> CREATEDATE  \@ "yyyy"  \* MERGEFORMAT </w:instrText>
            </w:r>
            <w:r w:rsidRPr="005B51BA">
              <w:rPr>
                <w:color w:val="FF0000"/>
                <w:sz w:val="28"/>
                <w:szCs w:val="28"/>
              </w:rPr>
              <w:fldChar w:fldCharType="separate"/>
            </w:r>
            <w:r w:rsidR="00EA73D4">
              <w:rPr>
                <w:noProof/>
                <w:color w:val="FF0000"/>
                <w:sz w:val="28"/>
                <w:szCs w:val="28"/>
              </w:rPr>
              <w:t>2015</w:t>
            </w:r>
            <w:r w:rsidRPr="005B51BA">
              <w:rPr>
                <w:color w:val="FF0000"/>
                <w:sz w:val="28"/>
                <w:szCs w:val="28"/>
              </w:rPr>
              <w:fldChar w:fldCharType="end"/>
            </w:r>
            <w:r w:rsidR="006F0AB6" w:rsidRPr="005B51BA">
              <w:rPr>
                <w:color w:val="FF0000"/>
                <w:sz w:val="28"/>
                <w:szCs w:val="28"/>
              </w:rPr>
              <w:t> г.</w:t>
            </w:r>
          </w:p>
        </w:tc>
      </w:tr>
    </w:tbl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p w:rsidR="006F0AB6" w:rsidRPr="005B51BA" w:rsidRDefault="006F0AB6" w:rsidP="006F0AB6">
      <w:pPr>
        <w:pStyle w:val="15"/>
        <w:ind w:firstLine="0"/>
        <w:jc w:val="center"/>
        <w:rPr>
          <w:b/>
          <w:color w:val="FF0000"/>
          <w:sz w:val="28"/>
          <w:szCs w:val="28"/>
        </w:rPr>
      </w:pPr>
      <w:r w:rsidRPr="005B51BA">
        <w:rPr>
          <w:b/>
          <w:color w:val="FF0000"/>
          <w:sz w:val="28"/>
          <w:szCs w:val="28"/>
        </w:rPr>
        <w:t>Ярославль</w:t>
      </w:r>
    </w:p>
    <w:p w:rsidR="006F0AB6" w:rsidRPr="005F4D13" w:rsidRDefault="006F0AB6" w:rsidP="006F0AB6">
      <w:pPr>
        <w:ind w:right="5101"/>
        <w:jc w:val="both"/>
        <w:rPr>
          <w:rFonts w:cs="Times New Roman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sz w:val="28"/>
          <w:szCs w:val="28"/>
        </w:rPr>
        <w:t>,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6F0AB6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>. Ответственным</w:t>
      </w:r>
      <w:proofErr w:type="gramStart"/>
      <w:r w:rsidRPr="00EA6F91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EA6F91">
        <w:rPr>
          <w:rFonts w:ascii="Times New Roman" w:hAnsi="Times New Roman" w:cs="Times New Roman"/>
          <w:sz w:val="28"/>
          <w:szCs w:val="28"/>
        </w:rPr>
        <w:t xml:space="preserve">ми) за реализацию Антикоррупционной политики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 xml:space="preserve">(наименование организации)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 w:rsidR="00465FF1">
        <w:rPr>
          <w:rFonts w:ascii="Times New Roman" w:hAnsi="Times New Roman" w:cs="Times New Roman"/>
          <w:sz w:val="28"/>
          <w:szCs w:val="28"/>
        </w:rPr>
        <w:t>:</w:t>
      </w:r>
    </w:p>
    <w:p w:rsidR="00F03709" w:rsidRPr="00EA6F91" w:rsidRDefault="00465FF1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3709"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="00F03709"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1</w:t>
      </w:r>
      <w:r w:rsidR="00F03709"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2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и т.д.</w:t>
      </w:r>
    </w:p>
    <w:p w:rsidR="00F03709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E8A">
        <w:rPr>
          <w:rFonts w:ascii="Times New Roman" w:hAnsi="Times New Roman" w:cs="Times New Roman"/>
          <w:sz w:val="28"/>
          <w:szCs w:val="28"/>
        </w:rPr>
        <w:t>. 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(указать сведения о лицах, указанных в п. 2 приказа):</w:t>
      </w:r>
    </w:p>
    <w:p w:rsidR="00F03709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F03709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00.00.0000</w:t>
      </w:r>
      <w:r w:rsidR="00F037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2015 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00.00.0000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провести оценку коррупционных рисков 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на утверждение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5B3454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="00985540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6066A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(указать сведения о лице, отвечающем за организацию работы с персоналом) в срок до </w:t>
      </w:r>
      <w:r w:rsidR="0036066A" w:rsidRPr="00AD5E8A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внести дополнения в трудовые договоры работников </w:t>
      </w:r>
      <w:r w:rsidR="0036066A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36066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>предусмотрев в них ответственность за несоблюдение требований Антикоррупционной политики (наименование организации).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 Заместителям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руководителям структурных подразделений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F0AB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6F0AB6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6F0AB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4"/>
        <w:gridCol w:w="4580"/>
      </w:tblGrid>
      <w:tr w:rsidR="006F0AB6" w:rsidRPr="005B51BA" w:rsidTr="008E46B4">
        <w:trPr>
          <w:trHeight w:val="399"/>
        </w:trPr>
        <w:tc>
          <w:tcPr>
            <w:tcW w:w="4800" w:type="dxa"/>
          </w:tcPr>
          <w:p w:rsidR="006F0AB6" w:rsidRPr="005B51BA" w:rsidRDefault="006F0AB6" w:rsidP="008E46B4">
            <w:pPr>
              <w:ind w:firstLine="0"/>
              <w:rPr>
                <w:color w:val="FF0000"/>
                <w:szCs w:val="28"/>
              </w:rPr>
            </w:pPr>
            <w:r w:rsidRPr="005B51BA">
              <w:rPr>
                <w:color w:val="FF0000"/>
                <w:szCs w:val="28"/>
              </w:rPr>
              <w:t>Должность</w:t>
            </w:r>
          </w:p>
        </w:tc>
        <w:tc>
          <w:tcPr>
            <w:tcW w:w="4605" w:type="dxa"/>
          </w:tcPr>
          <w:p w:rsidR="006F0AB6" w:rsidRPr="005B51BA" w:rsidRDefault="006F0AB6" w:rsidP="008E46B4">
            <w:pPr>
              <w:ind w:firstLine="0"/>
              <w:jc w:val="right"/>
              <w:rPr>
                <w:color w:val="FF0000"/>
                <w:szCs w:val="28"/>
              </w:rPr>
            </w:pPr>
            <w:r w:rsidRPr="005B51BA">
              <w:rPr>
                <w:color w:val="FF0000"/>
                <w:szCs w:val="28"/>
              </w:rPr>
              <w:t>Инициалы, фамилия</w:t>
            </w:r>
          </w:p>
        </w:tc>
      </w:tr>
    </w:tbl>
    <w:p w:rsidR="008859D8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C1F41" w:rsidRPr="0072424C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2"/>
      <w:r w:rsidRPr="008A040B">
        <w:rPr>
          <w:b w:val="0"/>
        </w:rPr>
        <w:br/>
        <w:t xml:space="preserve">к приказу </w:t>
      </w:r>
      <w:r w:rsidRPr="005C1F41">
        <w:rPr>
          <w:b w:val="0"/>
          <w:color w:val="FF0000"/>
        </w:rPr>
        <w:t>(наименование организации)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 w:rsidRPr="005C1F41">
        <w:rPr>
          <w:b w:val="0"/>
          <w:color w:val="FF0000"/>
        </w:rPr>
        <w:t>00.00.0000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 w:rsidRPr="005C1F41">
        <w:rPr>
          <w:b w:val="0"/>
          <w:color w:val="FF0000"/>
        </w:rPr>
        <w:t>00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9E6F77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22" w:history="1">
              <w:r w:rsidR="005C1F41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5C1F41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23" w:history="1">
              <w:r w:rsidR="005C1F41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09"/>
      <w:bookmarkStart w:id="6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5"/>
    </w:p>
    <w:bookmarkEnd w:id="6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hyperlink r:id="rId24" w:history="1">
        <w:r w:rsidRPr="005D7D24">
          <w:rPr>
            <w:rStyle w:val="afa"/>
            <w:rFonts w:eastAsiaTheme="minorEastAsia"/>
            <w:b w:val="0"/>
            <w:color w:val="FF0000"/>
          </w:rPr>
          <w:t>(</w:t>
        </w:r>
      </w:hyperlink>
      <w:r w:rsidRPr="005D7D24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25" w:history="1">
        <w:r w:rsidRPr="005D7D24">
          <w:rPr>
            <w:rStyle w:val="afa"/>
            <w:rFonts w:eastAsiaTheme="minorEastAsia"/>
            <w:b w:val="0"/>
            <w:color w:val="FF0000"/>
          </w:rPr>
          <w:t>)</w:t>
        </w:r>
      </w:hyperlink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hyperlink r:id="rId26" w:history="1">
        <w:r w:rsidR="00EC1FE9" w:rsidRPr="005D7D24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EC1FE9" w:rsidRPr="005D7D24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27" w:history="1">
        <w:r w:rsidR="00EC1FE9" w:rsidRPr="005D7D24">
          <w:rPr>
            <w:rStyle w:val="afa"/>
            <w:rFonts w:eastAsiaTheme="minorEastAsia"/>
            <w:b w:val="0"/>
            <w:color w:val="FF0000"/>
          </w:rPr>
          <w:t>)</w:t>
        </w:r>
      </w:hyperlink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0"/>
      <w:r w:rsidRPr="00B51A43">
        <w:rPr>
          <w:b/>
        </w:rPr>
        <w:t>Термины и определения</w:t>
      </w:r>
      <w:bookmarkEnd w:id="7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</w:t>
      </w:r>
      <w:r w:rsidR="007B0064" w:rsidRPr="003D32B3">
        <w:rPr>
          <w:bCs/>
          <w:szCs w:val="28"/>
          <w:shd w:val="clear" w:color="auto" w:fill="FFFFFF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hyperlink r:id="rId28" w:history="1">
        <w:r w:rsidRPr="005D7D24">
          <w:rPr>
            <w:rStyle w:val="afa"/>
            <w:rFonts w:eastAsiaTheme="minorEastAsia" w:cs="Times New Roman"/>
            <w:b w:val="0"/>
            <w:color w:val="FF0000"/>
            <w:szCs w:val="28"/>
          </w:rPr>
          <w:t>(</w:t>
        </w:r>
      </w:hyperlink>
      <w:r w:rsidRPr="005D7D24">
        <w:rPr>
          <w:rStyle w:val="afa"/>
          <w:rFonts w:eastAsiaTheme="minorEastAsia" w:cs="Times New Roman"/>
          <w:i/>
          <w:color w:val="FF0000"/>
          <w:szCs w:val="28"/>
        </w:rPr>
        <w:t>организационно-правовая форма, наименование организации</w:t>
      </w:r>
      <w:hyperlink r:id="rId29" w:history="1">
        <w:r w:rsidRPr="005D7D24">
          <w:rPr>
            <w:rStyle w:val="afa"/>
            <w:rFonts w:eastAsiaTheme="minorEastAsia" w:cs="Times New Roman"/>
            <w:b w:val="0"/>
            <w:color w:val="FF0000"/>
            <w:szCs w:val="28"/>
          </w:rPr>
          <w:t>)</w:t>
        </w:r>
      </w:hyperlink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8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2"/>
      <w:bookmarkStart w:id="10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9"/>
    </w:p>
    <w:bookmarkEnd w:id="10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3"/>
      <w:bookmarkStart w:id="12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1"/>
    </w:p>
    <w:bookmarkEnd w:id="12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="007B0064" w:rsidRPr="009846A7">
          <w:t xml:space="preserve">Приложение № </w:t>
        </w:r>
        <w:r w:rsidR="007B0064" w:rsidRPr="007B0064">
          <w:rPr>
            <w:noProof/>
          </w:rPr>
          <w:t>1</w:t>
        </w:r>
      </w:fldSimple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4"/>
    </w:p>
    <w:bookmarkEnd w:id="13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5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6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Тек"/>
      <w:bookmarkStart w:id="18" w:name="_Toc424284816"/>
      <w:bookmarkStart w:id="19" w:name="sub_8"/>
      <w:bookmarkEnd w:id="15"/>
      <w:bookmarkEnd w:id="17"/>
      <w:r w:rsidRPr="007902A2">
        <w:rPr>
          <w:b/>
        </w:rPr>
        <w:t>Внедрение стандартов поведения работников организации</w:t>
      </w:r>
      <w:bookmarkEnd w:id="18"/>
    </w:p>
    <w:bookmarkEnd w:id="19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>бщие правила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fldSimple w:instr=" REF _Ref422743378 \h  \* MERGEFORMAT ">
        <w:r w:rsidR="007B0064" w:rsidRPr="009846A7">
          <w:t xml:space="preserve">Приложение № </w:t>
        </w:r>
        <w:r w:rsidR="007B0064" w:rsidRPr="007B0064">
          <w:rPr>
            <w:szCs w:val="20"/>
          </w:rPr>
          <w:t>2</w:t>
        </w:r>
      </w:fldSimple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7"/>
      <w:bookmarkStart w:id="21" w:name="sub_9"/>
      <w:r w:rsidRPr="007902A2">
        <w:rPr>
          <w:b/>
        </w:rPr>
        <w:t>Выявление и урегулирование конфликта интересов</w:t>
      </w:r>
      <w:bookmarkEnd w:id="20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2" w:name="sub_10"/>
      <w:bookmarkEnd w:id="21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fldSimple w:instr=" REF _Ref422744127 \h  \* MERGEFORMAT ">
        <w:r w:rsidR="007B0064" w:rsidRPr="009846A7">
          <w:t xml:space="preserve">Приложение № </w:t>
        </w:r>
        <w:r w:rsidR="007B0064" w:rsidRPr="007B0064">
          <w:rPr>
            <w:noProof/>
          </w:rPr>
          <w:t>3</w:t>
        </w:r>
      </w:fldSimple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3"/>
    </w:p>
    <w:bookmarkEnd w:id="22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fldSimple w:instr=" REF _Ref422747034 \h  \* MERGEFORMAT ">
        <w:r w:rsidR="007B0064" w:rsidRPr="009846A7">
          <w:t xml:space="preserve">Приложение № </w:t>
        </w:r>
        <w:r w:rsidR="007B0064" w:rsidRPr="007B0064">
          <w:t>4</w:t>
        </w:r>
      </w:fldSimple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4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fldSimple w:instr=" REF _Ref422748565 \h  \* MERGEFORMAT ">
        <w:r w:rsidR="007B0064" w:rsidRPr="009846A7">
          <w:t xml:space="preserve">Приложение № </w:t>
        </w:r>
        <w:r w:rsidR="007B0064" w:rsidRPr="007B0064">
          <w:t>5</w:t>
        </w:r>
      </w:fldSimple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5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1"/>
      <w:bookmarkStart w:id="27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6"/>
      <w:r w:rsidR="005C1F41" w:rsidRPr="007902A2">
        <w:rPr>
          <w:b/>
        </w:rPr>
        <w:t xml:space="preserve"> </w:t>
      </w:r>
    </w:p>
    <w:bookmarkEnd w:id="27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2"/>
      <w:bookmarkStart w:id="29" w:name="sub_13"/>
      <w:r w:rsidRPr="007902A2">
        <w:rPr>
          <w:b/>
        </w:rPr>
        <w:t>Внутренний контроль и аудит</w:t>
      </w:r>
      <w:bookmarkEnd w:id="28"/>
    </w:p>
    <w:bookmarkEnd w:id="29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3"/>
      <w:bookmarkStart w:id="31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30"/>
    </w:p>
    <w:bookmarkEnd w:id="31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4"/>
      <w:bookmarkStart w:id="33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2"/>
    </w:p>
    <w:bookmarkEnd w:id="33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4" w:name="_Toc424284825"/>
      <w:bookmarkStart w:id="35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4"/>
    </w:p>
    <w:bookmarkEnd w:id="35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6" w:name="_Ref422904024"/>
      <w:bookmarkStart w:id="37" w:name="_Ref422904017"/>
      <w:r w:rsidRPr="009846A7">
        <w:rPr>
          <w:b w:val="0"/>
        </w:rPr>
        <w:lastRenderedPageBreak/>
        <w:t xml:space="preserve">Приложение № </w:t>
      </w:r>
      <w:r w:rsidR="009E6F7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E6F77" w:rsidRPr="009846A7">
        <w:rPr>
          <w:b w:val="0"/>
        </w:rPr>
        <w:fldChar w:fldCharType="separate"/>
      </w:r>
      <w:r w:rsidR="007B0064">
        <w:rPr>
          <w:b w:val="0"/>
          <w:noProof/>
        </w:rPr>
        <w:t>1</w:t>
      </w:r>
      <w:r w:rsidR="009E6F77" w:rsidRPr="009846A7">
        <w:rPr>
          <w:b w:val="0"/>
        </w:rPr>
        <w:fldChar w:fldCharType="end"/>
      </w:r>
      <w:bookmarkEnd w:id="3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  <w:bookmarkEnd w:id="37"/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8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9E6F77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30" w:history="1">
              <w:r w:rsidR="00FE66CC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FE66CC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31" w:history="1">
              <w:r w:rsidR="00FE66CC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9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hyperlink r:id="rId32" w:history="1">
        <w:r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33" w:history="1">
        <w:r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40" w:name="_Ref421189890"/>
      <w:r>
        <w:t>Комиссия образовывается в целях:</w:t>
      </w:r>
      <w:bookmarkEnd w:id="40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34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Par56"/>
      <w:bookmarkStart w:id="42" w:name="_Toc424284828"/>
      <w:bookmarkEnd w:id="4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7B0064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29"/>
      <w:r w:rsidRPr="00AD6704">
        <w:rPr>
          <w:b/>
        </w:rPr>
        <w:t>Полномочия Комиссии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4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35"/>
          <w:footerReference w:type="default" r:id="rId3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5" w:name="_Ref422743378"/>
      <w:r w:rsidRPr="009846A7">
        <w:rPr>
          <w:b w:val="0"/>
        </w:rPr>
        <w:lastRenderedPageBreak/>
        <w:t xml:space="preserve">Приложение № </w:t>
      </w:r>
      <w:r w:rsidR="009E6F7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E6F77" w:rsidRPr="009846A7">
        <w:rPr>
          <w:b w:val="0"/>
        </w:rPr>
        <w:fldChar w:fldCharType="separate"/>
      </w:r>
      <w:r w:rsidR="007B0064">
        <w:rPr>
          <w:b w:val="0"/>
          <w:noProof/>
        </w:rPr>
        <w:t>2</w:t>
      </w:r>
      <w:r w:rsidR="009E6F77" w:rsidRPr="009846A7">
        <w:rPr>
          <w:b w:val="0"/>
        </w:rPr>
        <w:fldChar w:fldCharType="end"/>
      </w:r>
      <w:bookmarkEnd w:id="4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6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9E6F77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37" w:history="1">
              <w:r w:rsidR="00473DC6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473DC6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38" w:history="1">
              <w:r w:rsidR="00473DC6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2"/>
      <w:r w:rsidRPr="00C0519B">
        <w:rPr>
          <w:b/>
        </w:rPr>
        <w:t>Общие положения</w:t>
      </w:r>
      <w:bookmarkEnd w:id="47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hyperlink r:id="rId39" w:history="1">
        <w:r w:rsidR="007340C7" w:rsidRPr="00344129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7340C7" w:rsidRPr="00344129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40" w:history="1">
        <w:r w:rsidR="007340C7" w:rsidRPr="00344129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41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8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42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43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9" w:name="_Ref422744127"/>
      <w:r w:rsidRPr="009846A7">
        <w:rPr>
          <w:b w:val="0"/>
        </w:rPr>
        <w:lastRenderedPageBreak/>
        <w:t xml:space="preserve">Приложение № </w:t>
      </w:r>
      <w:r w:rsidR="009E6F7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E6F77" w:rsidRPr="009846A7">
        <w:rPr>
          <w:b w:val="0"/>
        </w:rPr>
        <w:fldChar w:fldCharType="separate"/>
      </w:r>
      <w:r w:rsidR="007B0064">
        <w:rPr>
          <w:b w:val="0"/>
          <w:noProof/>
        </w:rPr>
        <w:t>3</w:t>
      </w:r>
      <w:r w:rsidR="009E6F77" w:rsidRPr="009846A7">
        <w:rPr>
          <w:b w:val="0"/>
        </w:rPr>
        <w:fldChar w:fldCharType="end"/>
      </w:r>
      <w:bookmarkEnd w:id="4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0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5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9E6F77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44" w:history="1">
              <w:r w:rsidR="000A340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0A3404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45" w:history="1">
              <w:r w:rsidR="000A340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5"/>
      <w:r>
        <w:rPr>
          <w:b/>
        </w:rPr>
        <w:t>Цели и задачи Положения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hyperlink r:id="rId46" w:history="1">
        <w:r w:rsidR="00704358"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704358"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47" w:history="1">
        <w:r w:rsidR="00704358"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6"/>
      <w:r>
        <w:rPr>
          <w:b/>
        </w:rPr>
        <w:t>Меры 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5F4D13">
        <w:rPr>
          <w:rFonts w:cs="Times New Roman"/>
          <w:color w:val="FF0000"/>
          <w:szCs w:val="28"/>
        </w:rPr>
        <w:t>(наименование организации)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6A3264" w:rsidRPr="005F4D13">
        <w:rPr>
          <w:rFonts w:cs="Times New Roman"/>
          <w:color w:val="FF0000"/>
          <w:szCs w:val="28"/>
        </w:rPr>
        <w:t>(наименование организации)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3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4" w:name="_Toc424284838"/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4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lastRenderedPageBreak/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proofErr w:type="gramStart"/>
      <w:r w:rsidR="00C8664A">
        <w:rPr>
          <w:b w:val="0"/>
        </w:rPr>
        <w:t>в</w:t>
      </w:r>
      <w:proofErr w:type="gramEnd"/>
      <w:r w:rsidR="00C8664A">
        <w:rPr>
          <w:b w:val="0"/>
          <w:color w:val="FF0000"/>
        </w:rPr>
        <w:t xml:space="preserve"> </w:t>
      </w:r>
      <w:r w:rsidRPr="00473DC6">
        <w:rPr>
          <w:b w:val="0"/>
          <w:color w:val="FF0000"/>
        </w:rPr>
        <w:t xml:space="preserve">(организационно – </w:t>
      </w:r>
      <w:proofErr w:type="gramStart"/>
      <w:r w:rsidRPr="00473DC6">
        <w:rPr>
          <w:b w:val="0"/>
          <w:color w:val="FF0000"/>
        </w:rPr>
        <w:t>правовая</w:t>
      </w:r>
      <w:proofErr w:type="gramEnd"/>
      <w:r w:rsidRPr="00473DC6">
        <w:rPr>
          <w:b w:val="0"/>
          <w:color w:val="FF0000"/>
        </w:rPr>
        <w:t xml:space="preserve"> форма, наименование организации)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5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6A3264" w:rsidRPr="006A3264">
        <w:rPr>
          <w:color w:val="FF0000"/>
        </w:rPr>
        <w:t>(организационно – правовая форма, наименование организации)</w:t>
      </w:r>
      <w:r w:rsidR="002C6D6A">
        <w:rPr>
          <w:color w:val="FF0000"/>
        </w:rPr>
        <w:t>;</w:t>
      </w:r>
      <w:r w:rsidR="006A3264">
        <w:rPr>
          <w:color w:val="FF0000"/>
        </w:rPr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proofErr w:type="gramStart"/>
      <w:r w:rsidR="00C8664A">
        <w:rPr>
          <w:b w:val="0"/>
        </w:rPr>
        <w:t>в</w:t>
      </w:r>
      <w:proofErr w:type="gramEnd"/>
      <w:r w:rsidRPr="008A040B">
        <w:rPr>
          <w:b w:val="0"/>
        </w:rPr>
        <w:t xml:space="preserve"> </w:t>
      </w:r>
      <w:r w:rsidRPr="00473DC6">
        <w:rPr>
          <w:b w:val="0"/>
          <w:color w:val="FF0000"/>
        </w:rPr>
        <w:t xml:space="preserve">(организационно – </w:t>
      </w:r>
      <w:proofErr w:type="gramStart"/>
      <w:r w:rsidRPr="00473DC6">
        <w:rPr>
          <w:b w:val="0"/>
          <w:color w:val="FF0000"/>
        </w:rPr>
        <w:t>правовая</w:t>
      </w:r>
      <w:proofErr w:type="gramEnd"/>
      <w:r w:rsidRPr="00473DC6">
        <w:rPr>
          <w:b w:val="0"/>
          <w:color w:val="FF0000"/>
        </w:rPr>
        <w:t xml:space="preserve"> форма, наименование организации)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6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6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Pr="006A282C">
        <w:rPr>
          <w:rFonts w:cs="Times New Roman"/>
          <w:b/>
          <w:color w:val="FF0000"/>
          <w:szCs w:val="28"/>
        </w:rPr>
        <w:t>(организационно – правовая форма, наименование организации)</w:t>
      </w:r>
      <w:r w:rsidRPr="006A282C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7" w:name="_Ref422747034"/>
      <w:r w:rsidRPr="009846A7">
        <w:rPr>
          <w:b w:val="0"/>
        </w:rPr>
        <w:lastRenderedPageBreak/>
        <w:t xml:space="preserve">Приложение № </w:t>
      </w:r>
      <w:r w:rsidR="009E6F7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E6F77" w:rsidRPr="009846A7">
        <w:rPr>
          <w:b w:val="0"/>
        </w:rPr>
        <w:fldChar w:fldCharType="separate"/>
      </w:r>
      <w:r w:rsidR="007B0064">
        <w:rPr>
          <w:b w:val="0"/>
          <w:noProof/>
        </w:rPr>
        <w:t>4</w:t>
      </w:r>
      <w:r w:rsidR="009E6F77" w:rsidRPr="009846A7">
        <w:rPr>
          <w:b w:val="0"/>
        </w:rPr>
        <w:fldChar w:fldCharType="end"/>
      </w:r>
      <w:bookmarkEnd w:id="57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8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8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9E6F77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48" w:history="1">
              <w:r w:rsidR="00A16E6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A16E64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49" w:history="1">
              <w:r w:rsidR="00A16E6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hyperlink r:id="rId50" w:history="1">
        <w:r w:rsidR="00BF6FA9"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BF6FA9"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51" w:history="1">
        <w:r w:rsidR="00BF6FA9"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60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1" w:name="_Toc424284844"/>
      <w:r w:rsidRPr="008F766E">
        <w:rPr>
          <w:b/>
        </w:rPr>
        <w:t>Область применения</w:t>
      </w:r>
      <w:bookmarkEnd w:id="61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2" w:name="_Ref422748565"/>
      <w:r w:rsidRPr="009846A7">
        <w:rPr>
          <w:b w:val="0"/>
        </w:rPr>
        <w:lastRenderedPageBreak/>
        <w:t xml:space="preserve">Приложение № </w:t>
      </w:r>
      <w:r w:rsidR="009E6F7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E6F77" w:rsidRPr="009846A7">
        <w:rPr>
          <w:b w:val="0"/>
        </w:rPr>
        <w:fldChar w:fldCharType="separate"/>
      </w:r>
      <w:r w:rsidR="007B0064">
        <w:rPr>
          <w:b w:val="0"/>
          <w:noProof/>
        </w:rPr>
        <w:t>5</w:t>
      </w:r>
      <w:r w:rsidR="009E6F77" w:rsidRPr="009846A7">
        <w:rPr>
          <w:b w:val="0"/>
        </w:rPr>
        <w:fldChar w:fldCharType="end"/>
      </w:r>
      <w:bookmarkEnd w:id="6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3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3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52"/>
      <w:head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91" w:rsidRDefault="008A7F91" w:rsidP="007362B8">
      <w:r>
        <w:separator/>
      </w:r>
    </w:p>
  </w:endnote>
  <w:endnote w:type="continuationSeparator" w:id="0">
    <w:p w:rsidR="008A7F91" w:rsidRDefault="008A7F91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7B00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7B00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7B006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Pr="006B7BEF" w:rsidRDefault="009E6F77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7B0064" w:rsidRPr="007B0064">
        <w:rPr>
          <w:rFonts w:cs="Times New Roman"/>
          <w:noProof/>
          <w:sz w:val="10"/>
          <w:szCs w:val="10"/>
        </w:rPr>
        <w:t>антикоррупционная политика.</w:t>
      </w:r>
      <w:r w:rsidR="007B0064" w:rsidRPr="007B0064">
        <w:rPr>
          <w:noProof/>
          <w:sz w:val="10"/>
          <w:szCs w:val="10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91" w:rsidRDefault="008A7F91" w:rsidP="007362B8">
      <w:r>
        <w:separator/>
      </w:r>
    </w:p>
  </w:footnote>
  <w:footnote w:type="continuationSeparator" w:id="0">
    <w:p w:rsidR="008A7F91" w:rsidRDefault="008A7F91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7B0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Pr="00E772C0" w:rsidRDefault="009E6F77" w:rsidP="0055150A">
    <w:pPr>
      <w:pStyle w:val="a6"/>
      <w:ind w:firstLine="0"/>
    </w:pPr>
    <w:fldSimple w:instr=" PAGE   \* MERGEFORMAT ">
      <w:r w:rsidR="007B006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7B006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Pr="00AC7713" w:rsidRDefault="009E6F77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7B0064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4309B">
      <w:rPr>
        <w:rFonts w:cs="Times New Roman"/>
        <w:noProof/>
        <w:sz w:val="24"/>
        <w:szCs w:val="24"/>
      </w:rPr>
      <w:t>24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9E6F77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B0064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7B0064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B0064" w:rsidRDefault="007B006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64" w:rsidRDefault="009E6F77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B0064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D4309B">
      <w:rPr>
        <w:rStyle w:val="afd"/>
        <w:rFonts w:eastAsiaTheme="majorEastAsia"/>
        <w:noProof/>
      </w:rPr>
      <w:t>52</w:t>
    </w:r>
    <w:r>
      <w:rPr>
        <w:rStyle w:val="afd"/>
        <w:rFonts w:eastAsiaTheme="majorEastAsia"/>
      </w:rPr>
      <w:fldChar w:fldCharType="end"/>
    </w:r>
  </w:p>
  <w:p w:rsidR="007B0064" w:rsidRDefault="007B0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8042C5"/>
    <w:rsid w:val="008110BD"/>
    <w:rsid w:val="00825055"/>
    <w:rsid w:val="00830893"/>
    <w:rsid w:val="008411AF"/>
    <w:rsid w:val="00843B19"/>
    <w:rsid w:val="00882CD0"/>
    <w:rsid w:val="008859D8"/>
    <w:rsid w:val="008A2937"/>
    <w:rsid w:val="008A6453"/>
    <w:rsid w:val="008A7F91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6F77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4309B"/>
    <w:rsid w:val="00D53BB2"/>
    <w:rsid w:val="00D61451"/>
    <w:rsid w:val="00D84CC6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hyperlink" Target="garantF1://55626921.0" TargetMode="External"/><Relationship Id="rId39" Type="http://schemas.openxmlformats.org/officeDocument/2006/relationships/hyperlink" Target="garantF1://55626921.0" TargetMode="External"/><Relationship Id="rId21" Type="http://schemas.openxmlformats.org/officeDocument/2006/relationships/hyperlink" Target="http://directum.adm.yar.ru/doc.asp?sys=DIRECTUM&amp;id=5593189" TargetMode="External"/><Relationship Id="rId34" Type="http://schemas.openxmlformats.org/officeDocument/2006/relationships/hyperlink" Target="consultantplus://offline/ref=89E03C9B4177874157506C2CBB7C8A03C999EC3D970F5A8BA6F9AAd8rCO" TargetMode="External"/><Relationship Id="rId42" Type="http://schemas.openxmlformats.org/officeDocument/2006/relationships/hyperlink" Target="consultantplus://offline/ref=B342F2E599CB95803AB379E1DDE072CDB24BB381834134C69A6A46lCE8H" TargetMode="External"/><Relationship Id="rId47" Type="http://schemas.openxmlformats.org/officeDocument/2006/relationships/hyperlink" Target="garantF1://55626921.0" TargetMode="External"/><Relationship Id="rId50" Type="http://schemas.openxmlformats.org/officeDocument/2006/relationships/hyperlink" Target="garantF1://55626921.0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hyperlink" Target="garantF1://55626921.0" TargetMode="External"/><Relationship Id="rId33" Type="http://schemas.openxmlformats.org/officeDocument/2006/relationships/hyperlink" Target="garantF1://55626921.0" TargetMode="External"/><Relationship Id="rId38" Type="http://schemas.openxmlformats.org/officeDocument/2006/relationships/hyperlink" Target="garantF1://55626921.0" TargetMode="External"/><Relationship Id="rId46" Type="http://schemas.openxmlformats.org/officeDocument/2006/relationships/hyperlink" Target="garantF1://55626921.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directum.adm.yar.ru/doc.asp?sys=DIRECTUM&amp;id=5593189" TargetMode="External"/><Relationship Id="rId29" Type="http://schemas.openxmlformats.org/officeDocument/2006/relationships/hyperlink" Target="garantF1://55626921.0" TargetMode="External"/><Relationship Id="rId41" Type="http://schemas.openxmlformats.org/officeDocument/2006/relationships/hyperlink" Target="consultantplus://offline/ref=703D0F6A4A585E20E72C1EF23128A7498B2C5D0F7571CAB3675FC9ZBwC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garantF1://55626921.0" TargetMode="External"/><Relationship Id="rId32" Type="http://schemas.openxmlformats.org/officeDocument/2006/relationships/hyperlink" Target="garantF1://55626921.0" TargetMode="External"/><Relationship Id="rId37" Type="http://schemas.openxmlformats.org/officeDocument/2006/relationships/hyperlink" Target="garantF1://55626921.0" TargetMode="External"/><Relationship Id="rId40" Type="http://schemas.openxmlformats.org/officeDocument/2006/relationships/hyperlink" Target="garantF1://55626921.0" TargetMode="External"/><Relationship Id="rId45" Type="http://schemas.openxmlformats.org/officeDocument/2006/relationships/hyperlink" Target="garantF1://55626921.0" TargetMode="External"/><Relationship Id="rId53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garantF1://55626921.0" TargetMode="External"/><Relationship Id="rId28" Type="http://schemas.openxmlformats.org/officeDocument/2006/relationships/hyperlink" Target="garantF1://55626921.0" TargetMode="External"/><Relationship Id="rId36" Type="http://schemas.openxmlformats.org/officeDocument/2006/relationships/footer" Target="footer4.xml"/><Relationship Id="rId49" Type="http://schemas.openxmlformats.org/officeDocument/2006/relationships/hyperlink" Target="garantF1://55626921.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directum.adm.yar.ru/doc.asp?sys=DIRECTUM&amp;id=5593189" TargetMode="External"/><Relationship Id="rId31" Type="http://schemas.openxmlformats.org/officeDocument/2006/relationships/hyperlink" Target="garantF1://55626921.0" TargetMode="External"/><Relationship Id="rId44" Type="http://schemas.openxmlformats.org/officeDocument/2006/relationships/hyperlink" Target="garantF1://55626921.0" TargetMode="External"/><Relationship Id="rId52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garantF1://55626921.0" TargetMode="External"/><Relationship Id="rId27" Type="http://schemas.openxmlformats.org/officeDocument/2006/relationships/hyperlink" Target="garantF1://55626921.0" TargetMode="External"/><Relationship Id="rId30" Type="http://schemas.openxmlformats.org/officeDocument/2006/relationships/hyperlink" Target="garantF1://55626921.0" TargetMode="External"/><Relationship Id="rId35" Type="http://schemas.openxmlformats.org/officeDocument/2006/relationships/header" Target="header4.xml"/><Relationship Id="rId43" Type="http://schemas.openxmlformats.org/officeDocument/2006/relationships/hyperlink" Target="consultantplus://offline/ref=B342F2E599CB95803AB379E1DDE072CDB140B784801363C4CB3F48CDD439E5A09E4D21816846F405l8EBH" TargetMode="External"/><Relationship Id="rId48" Type="http://schemas.openxmlformats.org/officeDocument/2006/relationships/hyperlink" Target="garantF1://55626921.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garantF1://55626921.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3FAD9-E332-4025-8BB9-D4CACE7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13687</Words>
  <Characters>78017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2019-07-26T09:56:00Z</cp:lastPrinted>
  <dcterms:created xsi:type="dcterms:W3CDTF">2019-07-30T05:28:00Z</dcterms:created>
  <dcterms:modified xsi:type="dcterms:W3CDTF">2019-07-30T05:28:00Z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